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rPr>
        <w:id w:val="-1221136148"/>
        <w:docPartObj>
          <w:docPartGallery w:val="Cover Pages"/>
          <w:docPartUnique/>
        </w:docPartObj>
      </w:sdtPr>
      <w:sdtEndPr>
        <w:rPr>
          <w:caps/>
          <w:color w:val="FFFFFF" w:themeColor="background1"/>
        </w:rPr>
      </w:sdtEndPr>
      <w:sdtContent>
        <w:p w14:paraId="7DA255E8" w14:textId="4F432874" w:rsidR="009C3398" w:rsidRDefault="009C3398" w:rsidP="00BD4CA4">
          <w:pPr>
            <w:pStyle w:val="Sansinterligne"/>
            <w:spacing w:before="240" w:line="300" w:lineRule="exact"/>
            <w:rPr>
              <w:rFonts w:asciiTheme="majorHAnsi" w:eastAsiaTheme="majorEastAsia" w:hAnsiTheme="majorHAnsi" w:cstheme="majorBidi"/>
              <w:color w:val="595959" w:themeColor="text1" w:themeTint="A6"/>
              <w:sz w:val="68"/>
              <w:szCs w:val="68"/>
            </w:rPr>
          </w:pPr>
        </w:p>
        <w:p w14:paraId="57C696F2" w14:textId="2C9A5BE3" w:rsidR="009C3398" w:rsidRDefault="008B279B" w:rsidP="00BD4CA4">
          <w:pPr>
            <w:pStyle w:val="Sansinterligne"/>
            <w:spacing w:before="240" w:line="300" w:lineRule="exact"/>
            <w:rPr>
              <w:rFonts w:asciiTheme="majorHAnsi" w:eastAsiaTheme="majorEastAsia" w:hAnsiTheme="majorHAnsi" w:cstheme="majorBidi"/>
              <w:color w:val="595959" w:themeColor="text1" w:themeTint="A6"/>
              <w:sz w:val="68"/>
              <w:szCs w:val="68"/>
            </w:rPr>
          </w:pPr>
          <w:r w:rsidRPr="00696AA7">
            <w:rPr>
              <w:noProof/>
              <w:sz w:val="22"/>
              <w:szCs w:val="22"/>
              <w:lang w:eastAsia="fr-FR"/>
            </w:rPr>
            <w:drawing>
              <wp:anchor distT="0" distB="0" distL="114300" distR="114300" simplePos="0" relativeHeight="251666432" behindDoc="0" locked="0" layoutInCell="1" allowOverlap="1" wp14:anchorId="38C3CB96" wp14:editId="4A661534">
                <wp:simplePos x="0" y="0"/>
                <wp:positionH relativeFrom="margin">
                  <wp:posOffset>0</wp:posOffset>
                </wp:positionH>
                <wp:positionV relativeFrom="margin">
                  <wp:posOffset>685165</wp:posOffset>
                </wp:positionV>
                <wp:extent cx="576072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41120"/>
                        </a:xfrm>
                        <a:prstGeom prst="rect">
                          <a:avLst/>
                        </a:prstGeom>
                      </pic:spPr>
                    </pic:pic>
                  </a:graphicData>
                </a:graphic>
              </wp:anchor>
            </w:drawing>
          </w:r>
        </w:p>
        <w:p w14:paraId="7899B0E1" w14:textId="77777777" w:rsidR="009C3398" w:rsidRDefault="009C3398" w:rsidP="00BD4CA4">
          <w:pPr>
            <w:pStyle w:val="Sansinterligne"/>
            <w:spacing w:before="240" w:line="300" w:lineRule="exact"/>
            <w:rPr>
              <w:rFonts w:asciiTheme="majorHAnsi" w:eastAsiaTheme="majorEastAsia" w:hAnsiTheme="majorHAnsi" w:cstheme="majorBidi"/>
              <w:color w:val="595959" w:themeColor="text1" w:themeTint="A6"/>
              <w:sz w:val="68"/>
              <w:szCs w:val="68"/>
            </w:rPr>
          </w:pPr>
        </w:p>
        <w:p w14:paraId="3B23A851" w14:textId="77777777" w:rsidR="009C3398" w:rsidRDefault="009C3398" w:rsidP="00BD4CA4">
          <w:pPr>
            <w:pStyle w:val="Sansinterligne"/>
            <w:spacing w:before="240" w:line="300" w:lineRule="exact"/>
            <w:rPr>
              <w:rFonts w:asciiTheme="majorHAnsi" w:eastAsiaTheme="majorEastAsia" w:hAnsiTheme="majorHAnsi" w:cstheme="majorBidi"/>
              <w:color w:val="595959" w:themeColor="text1" w:themeTint="A6"/>
              <w:sz w:val="68"/>
              <w:szCs w:val="68"/>
            </w:rPr>
          </w:pPr>
        </w:p>
        <w:p w14:paraId="4076A233" w14:textId="7DC26D13" w:rsidR="00C14422" w:rsidRDefault="00C14422" w:rsidP="00BD4CA4">
          <w:pPr>
            <w:pStyle w:val="Sansinterligne"/>
            <w:spacing w:before="240" w:line="300" w:lineRule="exact"/>
            <w:rPr>
              <w:rFonts w:asciiTheme="majorHAnsi" w:eastAsiaTheme="majorEastAsia" w:hAnsiTheme="majorHAnsi" w:cstheme="majorBidi"/>
              <w:color w:val="595959" w:themeColor="text1" w:themeTint="A6"/>
              <w:sz w:val="44"/>
              <w:szCs w:val="44"/>
            </w:rPr>
          </w:pPr>
        </w:p>
        <w:p w14:paraId="0B550311" w14:textId="7BF73BD6" w:rsidR="00C14422" w:rsidRPr="00F81954" w:rsidRDefault="00F81954" w:rsidP="00BD4CA4">
          <w:pPr>
            <w:pStyle w:val="Sansinterligne"/>
            <w:spacing w:before="240" w:line="300" w:lineRule="exact"/>
            <w:rPr>
              <w:rFonts w:asciiTheme="majorHAnsi" w:eastAsiaTheme="majorEastAsia" w:hAnsiTheme="majorHAnsi" w:cstheme="majorBidi"/>
              <w:color w:val="595959" w:themeColor="text1" w:themeTint="A6"/>
              <w:sz w:val="40"/>
              <w:szCs w:val="40"/>
            </w:rPr>
          </w:pPr>
          <w:r>
            <w:rPr>
              <w:rFonts w:asciiTheme="majorHAnsi" w:eastAsiaTheme="majorEastAsia" w:hAnsiTheme="majorHAnsi" w:cstheme="majorBidi"/>
              <w:color w:val="595959" w:themeColor="text1" w:themeTint="A6"/>
              <w:sz w:val="40"/>
              <w:szCs w:val="40"/>
            </w:rPr>
            <w:t>L</w:t>
          </w:r>
          <w:r w:rsidRPr="00F81954">
            <w:rPr>
              <w:rFonts w:asciiTheme="majorHAnsi" w:eastAsiaTheme="majorEastAsia" w:hAnsiTheme="majorHAnsi" w:cstheme="majorBidi"/>
              <w:color w:val="595959" w:themeColor="text1" w:themeTint="A6"/>
              <w:sz w:val="40"/>
              <w:szCs w:val="40"/>
            </w:rPr>
            <w:t xml:space="preserve">ES TAUX </w:t>
          </w:r>
          <w:r w:rsidR="00107A25">
            <w:rPr>
              <w:rFonts w:asciiTheme="majorHAnsi" w:eastAsiaTheme="majorEastAsia" w:hAnsiTheme="majorHAnsi" w:cstheme="majorBidi"/>
              <w:color w:val="595959" w:themeColor="text1" w:themeTint="A6"/>
              <w:sz w:val="40"/>
              <w:szCs w:val="40"/>
            </w:rPr>
            <w:t>DE MOBILITE SOCIALE ET TERRITORIALE</w:t>
          </w:r>
        </w:p>
        <w:p w14:paraId="61FCF993" w14:textId="6AB1CCC5" w:rsidR="009C3398" w:rsidRPr="00F81954" w:rsidRDefault="00F81954" w:rsidP="00BD4CA4">
          <w:pPr>
            <w:pStyle w:val="Sansinterligne"/>
            <w:spacing w:before="240" w:line="300" w:lineRule="exact"/>
            <w:rPr>
              <w:rFonts w:asciiTheme="majorHAnsi" w:eastAsiaTheme="majorEastAsia" w:hAnsiTheme="majorHAnsi" w:cstheme="majorBidi"/>
              <w:color w:val="595959" w:themeColor="text1" w:themeTint="A6"/>
              <w:sz w:val="40"/>
              <w:szCs w:val="40"/>
            </w:rPr>
          </w:pPr>
          <w:r>
            <w:rPr>
              <w:rFonts w:asciiTheme="majorHAnsi" w:eastAsiaTheme="majorEastAsia" w:hAnsiTheme="majorHAnsi" w:cstheme="majorBidi"/>
              <w:color w:val="595959" w:themeColor="text1" w:themeTint="A6"/>
              <w:sz w:val="40"/>
              <w:szCs w:val="40"/>
            </w:rPr>
            <w:t>DANS LA PHASE D’ADMISSION DE PARCOURSUP</w:t>
          </w:r>
        </w:p>
        <w:p w14:paraId="40FF678D" w14:textId="7AE6D423" w:rsidR="009C3398" w:rsidRPr="00880E52" w:rsidRDefault="009C3398" w:rsidP="00BD4CA4">
          <w:pPr>
            <w:pStyle w:val="Sansinterligne"/>
            <w:spacing w:before="240" w:line="300" w:lineRule="exact"/>
            <w:rPr>
              <w:caps/>
              <w:color w:val="545454" w:themeColor="text2"/>
              <w:sz w:val="28"/>
              <w:szCs w:val="28"/>
            </w:rPr>
          </w:pPr>
          <w:r w:rsidRPr="00327495">
            <w:rPr>
              <w:noProof/>
              <w:sz w:val="22"/>
              <w:szCs w:val="22"/>
              <w:lang w:eastAsia="fr-FR"/>
            </w:rPr>
            <mc:AlternateContent>
              <mc:Choice Requires="wps">
                <w:drawing>
                  <wp:anchor distT="0" distB="0" distL="114300" distR="114300" simplePos="0" relativeHeight="251664384" behindDoc="0" locked="0" layoutInCell="1" allowOverlap="1" wp14:anchorId="1FD31B39" wp14:editId="00C82EAE">
                    <wp:simplePos x="0" y="0"/>
                    <wp:positionH relativeFrom="margin">
                      <wp:posOffset>7620</wp:posOffset>
                    </wp:positionH>
                    <wp:positionV relativeFrom="paragraph">
                      <wp:posOffset>127000</wp:posOffset>
                    </wp:positionV>
                    <wp:extent cx="573405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5734050" cy="0"/>
                            </a:xfrm>
                            <a:prstGeom prst="line">
                              <a:avLst/>
                            </a:prstGeom>
                            <a:ln>
                              <a:solidFill>
                                <a:srgbClr val="787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95911" id="Connecteur droit 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0pt" to="452.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" strokecolor="#787878">
                    <w10:wrap anchorx="margin"/>
                  </v:line>
                </w:pict>
              </mc:Fallback>
            </mc:AlternateContent>
          </w:r>
          <w:sdt>
            <w:sdtPr>
              <w:rPr>
                <w:caps/>
                <w:color w:val="545454" w:themeColor="text2"/>
                <w:sz w:val="28"/>
                <w:szCs w:val="28"/>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Content>
              <w:r w:rsidR="00F81954">
                <w:rPr>
                  <w:caps/>
                  <w:color w:val="545454" w:themeColor="text2"/>
                  <w:sz w:val="28"/>
                  <w:szCs w:val="28"/>
                </w:rPr>
                <w:t>définition et PRINCIPES DE MISE EN OEUVRE</w:t>
              </w:r>
            </w:sdtContent>
          </w:sdt>
        </w:p>
        <w:p w14:paraId="21345C53" w14:textId="77777777" w:rsidR="009C3398" w:rsidRPr="00E55231" w:rsidRDefault="009C3398" w:rsidP="00FB24CD">
          <w:pPr>
            <w:pStyle w:val="Titre"/>
          </w:pPr>
        </w:p>
        <w:p w14:paraId="70C6964B" w14:textId="77777777" w:rsidR="00D34AB3" w:rsidRPr="00327495" w:rsidRDefault="00D34AB3" w:rsidP="00BD4CA4">
          <w:pPr>
            <w:spacing w:before="360" w:line="300" w:lineRule="exact"/>
            <w:jc w:val="center"/>
            <w:rPr>
              <w:sz w:val="22"/>
              <w:szCs w:val="22"/>
            </w:rPr>
          </w:pPr>
        </w:p>
        <w:p w14:paraId="0D80B9A7" w14:textId="67A24F70" w:rsidR="00D34AB3" w:rsidRPr="00327495" w:rsidRDefault="00FF4CC4" w:rsidP="00BD4CA4">
          <w:pPr>
            <w:pStyle w:val="Sansinterligne"/>
            <w:spacing w:before="240" w:line="300" w:lineRule="exact"/>
            <w:rPr>
              <w:color w:val="FFFFFF" w:themeColor="background1"/>
              <w:sz w:val="22"/>
              <w:szCs w:val="22"/>
            </w:rPr>
          </w:pPr>
          <w:r w:rsidRPr="00327495">
            <w:rPr>
              <w:noProof/>
              <w:sz w:val="22"/>
              <w:szCs w:val="22"/>
              <w:lang w:eastAsia="fr-FR"/>
            </w:rPr>
            <mc:AlternateContent>
              <mc:Choice Requires="wpg">
                <w:drawing>
                  <wp:anchor distT="0" distB="0" distL="114300" distR="114300" simplePos="0" relativeHeight="251668480" behindDoc="1" locked="0" layoutInCell="1" allowOverlap="1" wp14:anchorId="3E493113" wp14:editId="58CE5DD8">
                    <wp:simplePos x="0" y="0"/>
                    <wp:positionH relativeFrom="page">
                      <wp:align>right</wp:align>
                    </wp:positionH>
                    <wp:positionV relativeFrom="margin">
                      <wp:align>bottom</wp:align>
                    </wp:positionV>
                    <wp:extent cx="6858000" cy="1179825"/>
                    <wp:effectExtent l="0" t="0" r="0" b="1905"/>
                    <wp:wrapNone/>
                    <wp:docPr id="119" name="Groupe 119"/>
                    <wp:cNvGraphicFramePr/>
                    <a:graphic xmlns:a="http://schemas.openxmlformats.org/drawingml/2006/main">
                      <a:graphicData uri="http://schemas.microsoft.com/office/word/2010/wordprocessingGroup">
                        <wpg:wgp>
                          <wpg:cNvGrpSpPr/>
                          <wpg:grpSpPr>
                            <a:xfrm>
                              <a:off x="0" y="0"/>
                              <a:ext cx="6858000" cy="1179825"/>
                              <a:chOff x="0" y="8286586"/>
                              <a:chExt cx="6858000" cy="985164"/>
                            </a:xfrm>
                          </wpg:grpSpPr>
                          <wps:wsp>
                            <wps:cNvPr id="120" name="Rectangle 120"/>
                            <wps:cNvSpPr/>
                            <wps:spPr>
                              <a:xfrm>
                                <a:off x="0" y="8286586"/>
                                <a:ext cx="6858000" cy="143182"/>
                              </a:xfrm>
                              <a:prstGeom prst="rect">
                                <a:avLst/>
                              </a:prstGeom>
                              <a:solidFill>
                                <a:srgbClr val="787878"/>
                              </a:solidFill>
                              <a:ln w="1079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8426563"/>
                                <a:ext cx="6858000" cy="845187"/>
                              </a:xfrm>
                              <a:prstGeom prst="rect">
                                <a:avLst/>
                              </a:prstGeom>
                              <a:solidFill>
                                <a:srgbClr val="3018A8"/>
                              </a:solidFill>
                              <a:ln w="10795" cap="flat" cmpd="sng" algn="ctr">
                                <a:noFill/>
                                <a:prstDash val="solid"/>
                              </a:ln>
                              <a:effectLst/>
                            </wps:spPr>
                            <wps:txbx>
                              <w:txbxContent>
                                <w:p w14:paraId="6975BB07" w14:textId="45B0B9F4" w:rsidR="00FF4CC4" w:rsidRPr="00D34AB3" w:rsidRDefault="00000000" w:rsidP="00FF4CC4">
                                  <w:pPr>
                                    <w:pStyle w:val="Sansinterligne"/>
                                    <w:jc w:val="center"/>
                                    <w:rPr>
                                      <w:rFonts w:ascii="Calibri" w:hAnsi="Calibri"/>
                                      <w:color w:val="FFFFFF" w:themeColor="background1"/>
                                      <w:sz w:val="32"/>
                                      <w:szCs w:val="32"/>
                                    </w:rPr>
                                  </w:pPr>
                                  <w:sdt>
                                    <w:sdtPr>
                                      <w:rPr>
                                        <w:rFonts w:ascii="Calibri" w:hAnsi="Calibri"/>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Content>
                                      <w:r w:rsidR="00FF4CC4">
                                        <w:rPr>
                                          <w:rFonts w:ascii="Calibri" w:hAnsi="Calibri"/>
                                          <w:color w:val="FFFFFF" w:themeColor="background1"/>
                                          <w:sz w:val="32"/>
                                          <w:szCs w:val="32"/>
                                        </w:rPr>
                                        <w:t>Session 2026</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493113" id="Groupe 119" o:spid="_x0000_s1026" style="position:absolute;margin-left:488.8pt;margin-top:0;width:540pt;height:92.9pt;z-index:-251648000;mso-position-horizontal:right;mso-position-horizontal-relative:page;mso-position-vertical:bottom;mso-position-vertical-relative:margin" coordorigin=",82865" coordsize="68580,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">
                    <v:rect id="Rectangle 120" o:spid="_x0000_s1027" style="position:absolute;top:82865;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" fillcolor="#787878" stroked="f" strokeweight=".85pt"/>
                    <v:rect id="Rectangle 121" o:spid="_x0000_s1028" style="position:absolute;top:84265;width:68580;height:845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" fillcolor="#3018a8" stroked="f" strokeweight=".85pt">
                      <v:textbox inset="36pt,14.4pt,36pt,36pt">
                        <w:txbxContent>
                          <w:p w14:paraId="6975BB07" w14:textId="45B0B9F4" w:rsidR="00FF4CC4" w:rsidRPr="00D34AB3" w:rsidRDefault="00491981" w:rsidP="00FF4CC4">
                            <w:pPr>
                              <w:pStyle w:val="Sansinterligne"/>
                              <w:jc w:val="center"/>
                              <w:rPr>
                                <w:rFonts w:ascii="Calibri" w:hAnsi="Calibri"/>
                                <w:color w:val="FFFFFF" w:themeColor="background1"/>
                                <w:sz w:val="32"/>
                                <w:szCs w:val="32"/>
                              </w:rPr>
                            </w:pPr>
                            <w:sdt>
                              <w:sdtPr>
                                <w:rPr>
                                  <w:rFonts w:ascii="Calibri" w:hAnsi="Calibri"/>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r w:rsidR="00FF4CC4">
                                  <w:rPr>
                                    <w:rFonts w:ascii="Calibri" w:hAnsi="Calibri"/>
                                    <w:color w:val="FFFFFF" w:themeColor="background1"/>
                                    <w:sz w:val="32"/>
                                    <w:szCs w:val="32"/>
                                  </w:rPr>
                                  <w:t>Session 2026</w:t>
                                </w:r>
                              </w:sdtContent>
                            </w:sdt>
                          </w:p>
                        </w:txbxContent>
                      </v:textbox>
                    </v:rect>
                    <w10:wrap anchorx="page" anchory="margin"/>
                  </v:group>
                </w:pict>
              </mc:Fallback>
            </mc:AlternateContent>
          </w:r>
          <w:r w:rsidR="00D34AB3" w:rsidRPr="00327495">
            <w:rPr>
              <w:caps/>
              <w:color w:val="FFFFFF" w:themeColor="background1"/>
              <w:sz w:val="22"/>
              <w:szCs w:val="22"/>
            </w:rPr>
            <w:br w:type="page"/>
          </w:r>
        </w:p>
      </w:sdtContent>
    </w:sdt>
    <w:sdt>
      <w:sdtPr>
        <w:rPr>
          <w:rFonts w:asciiTheme="minorHAnsi" w:eastAsiaTheme="minorEastAsia" w:hAnsiTheme="minorHAnsi" w:cstheme="minorBidi"/>
          <w:color w:val="auto"/>
          <w:sz w:val="21"/>
          <w:szCs w:val="21"/>
        </w:rPr>
        <w:id w:val="479113934"/>
        <w:docPartObj>
          <w:docPartGallery w:val="Table of Contents"/>
          <w:docPartUnique/>
        </w:docPartObj>
      </w:sdtPr>
      <w:sdtEndPr>
        <w:rPr>
          <w:b/>
          <w:bCs/>
        </w:rPr>
      </w:sdtEndPr>
      <w:sdtContent>
        <w:p w14:paraId="3883A2F5" w14:textId="6C41A782" w:rsidR="00F81954" w:rsidRDefault="00F81954" w:rsidP="00F81954">
          <w:pPr>
            <w:pStyle w:val="En-ttedetabledesmatires"/>
            <w:numPr>
              <w:ilvl w:val="0"/>
              <w:numId w:val="0"/>
            </w:numPr>
          </w:pPr>
          <w:r>
            <w:t>Sommaire</w:t>
          </w:r>
        </w:p>
        <w:p w14:paraId="18E03443" w14:textId="77777777" w:rsidR="00F81954" w:rsidRPr="00F81954" w:rsidRDefault="00F81954" w:rsidP="00F81954"/>
        <w:p w14:paraId="66DDC8C2" w14:textId="5959DE6B" w:rsidR="0097755A" w:rsidRDefault="00F81954">
          <w:pPr>
            <w:pStyle w:val="TM1"/>
            <w:tabs>
              <w:tab w:val="left" w:pos="420"/>
              <w:tab w:val="right" w:leader="dot" w:pos="9062"/>
            </w:tabs>
            <w:rPr>
              <w:noProof/>
              <w:sz w:val="22"/>
              <w:szCs w:val="22"/>
              <w:lang w:eastAsia="fr-FR"/>
            </w:rPr>
          </w:pPr>
          <w:r>
            <w:fldChar w:fldCharType="begin"/>
          </w:r>
          <w:r>
            <w:instrText xml:space="preserve"> TOC \o "1-3" \h \z \u </w:instrText>
          </w:r>
          <w:r>
            <w:fldChar w:fldCharType="separate"/>
          </w:r>
          <w:hyperlink w:anchor="_Toc191889103" w:history="1">
            <w:r w:rsidR="0097755A" w:rsidRPr="00C21169">
              <w:rPr>
                <w:rStyle w:val="Lienhypertexte"/>
                <w:noProof/>
              </w:rPr>
              <w:t>1</w:t>
            </w:r>
            <w:r w:rsidR="0097755A">
              <w:rPr>
                <w:noProof/>
                <w:sz w:val="22"/>
                <w:szCs w:val="22"/>
                <w:lang w:eastAsia="fr-FR"/>
              </w:rPr>
              <w:tab/>
            </w:r>
            <w:r w:rsidR="0097755A" w:rsidRPr="00C21169">
              <w:rPr>
                <w:rStyle w:val="Lienhypertexte"/>
                <w:noProof/>
              </w:rPr>
              <w:t>Objet de la note</w:t>
            </w:r>
            <w:r w:rsidR="0097755A">
              <w:rPr>
                <w:noProof/>
                <w:webHidden/>
              </w:rPr>
              <w:tab/>
            </w:r>
            <w:r w:rsidR="0097755A">
              <w:rPr>
                <w:noProof/>
                <w:webHidden/>
              </w:rPr>
              <w:fldChar w:fldCharType="begin"/>
            </w:r>
            <w:r w:rsidR="0097755A">
              <w:rPr>
                <w:noProof/>
                <w:webHidden/>
              </w:rPr>
              <w:instrText xml:space="preserve"> PAGEREF _Toc191889103 \h </w:instrText>
            </w:r>
            <w:r w:rsidR="0097755A">
              <w:rPr>
                <w:noProof/>
                <w:webHidden/>
              </w:rPr>
            </w:r>
            <w:r w:rsidR="0097755A">
              <w:rPr>
                <w:noProof/>
                <w:webHidden/>
              </w:rPr>
              <w:fldChar w:fldCharType="separate"/>
            </w:r>
            <w:r w:rsidR="00634BAE">
              <w:rPr>
                <w:noProof/>
                <w:webHidden/>
              </w:rPr>
              <w:t>2</w:t>
            </w:r>
            <w:r w:rsidR="0097755A">
              <w:rPr>
                <w:noProof/>
                <w:webHidden/>
              </w:rPr>
              <w:fldChar w:fldCharType="end"/>
            </w:r>
          </w:hyperlink>
        </w:p>
        <w:p w14:paraId="656BA745" w14:textId="04CD5584" w:rsidR="0097755A" w:rsidRDefault="00000000">
          <w:pPr>
            <w:pStyle w:val="TM1"/>
            <w:tabs>
              <w:tab w:val="left" w:pos="420"/>
              <w:tab w:val="right" w:leader="dot" w:pos="9062"/>
            </w:tabs>
            <w:rPr>
              <w:noProof/>
              <w:sz w:val="22"/>
              <w:szCs w:val="22"/>
              <w:lang w:eastAsia="fr-FR"/>
            </w:rPr>
          </w:pPr>
          <w:hyperlink w:anchor="_Toc191889104" w:history="1">
            <w:r w:rsidR="0097755A" w:rsidRPr="00C21169">
              <w:rPr>
                <w:rStyle w:val="Lienhypertexte"/>
                <w:noProof/>
              </w:rPr>
              <w:t>2</w:t>
            </w:r>
            <w:r w:rsidR="0097755A">
              <w:rPr>
                <w:noProof/>
                <w:sz w:val="22"/>
                <w:szCs w:val="22"/>
                <w:lang w:eastAsia="fr-FR"/>
              </w:rPr>
              <w:tab/>
            </w:r>
            <w:r w:rsidR="0097755A" w:rsidRPr="00C21169">
              <w:rPr>
                <w:rStyle w:val="Lienhypertexte"/>
                <w:noProof/>
              </w:rPr>
              <w:t>Principes</w:t>
            </w:r>
            <w:r w:rsidR="0097755A">
              <w:rPr>
                <w:noProof/>
                <w:webHidden/>
              </w:rPr>
              <w:tab/>
            </w:r>
            <w:r w:rsidR="0097755A">
              <w:rPr>
                <w:noProof/>
                <w:webHidden/>
              </w:rPr>
              <w:fldChar w:fldCharType="begin"/>
            </w:r>
            <w:r w:rsidR="0097755A">
              <w:rPr>
                <w:noProof/>
                <w:webHidden/>
              </w:rPr>
              <w:instrText xml:space="preserve"> PAGEREF _Toc191889104 \h </w:instrText>
            </w:r>
            <w:r w:rsidR="0097755A">
              <w:rPr>
                <w:noProof/>
                <w:webHidden/>
              </w:rPr>
            </w:r>
            <w:r w:rsidR="0097755A">
              <w:rPr>
                <w:noProof/>
                <w:webHidden/>
              </w:rPr>
              <w:fldChar w:fldCharType="separate"/>
            </w:r>
            <w:r w:rsidR="00634BAE">
              <w:rPr>
                <w:noProof/>
                <w:webHidden/>
              </w:rPr>
              <w:t>2</w:t>
            </w:r>
            <w:r w:rsidR="0097755A">
              <w:rPr>
                <w:noProof/>
                <w:webHidden/>
              </w:rPr>
              <w:fldChar w:fldCharType="end"/>
            </w:r>
          </w:hyperlink>
        </w:p>
        <w:p w14:paraId="6DFCF860" w14:textId="4A27D2DF" w:rsidR="0097755A" w:rsidRDefault="00000000">
          <w:pPr>
            <w:pStyle w:val="TM2"/>
            <w:tabs>
              <w:tab w:val="left" w:pos="880"/>
              <w:tab w:val="right" w:leader="dot" w:pos="9062"/>
            </w:tabs>
            <w:rPr>
              <w:noProof/>
              <w:sz w:val="22"/>
              <w:szCs w:val="22"/>
              <w:lang w:eastAsia="fr-FR"/>
            </w:rPr>
          </w:pPr>
          <w:hyperlink w:anchor="_Toc191889105" w:history="1">
            <w:r w:rsidR="0097755A" w:rsidRPr="00C21169">
              <w:rPr>
                <w:rStyle w:val="Lienhypertexte"/>
                <w:noProof/>
              </w:rPr>
              <w:t>2.1</w:t>
            </w:r>
            <w:r w:rsidR="0097755A">
              <w:rPr>
                <w:noProof/>
                <w:sz w:val="22"/>
                <w:szCs w:val="22"/>
                <w:lang w:eastAsia="fr-FR"/>
              </w:rPr>
              <w:tab/>
            </w:r>
            <w:r w:rsidR="0097755A" w:rsidRPr="00C21169">
              <w:rPr>
                <w:rStyle w:val="Lienhypertexte"/>
                <w:noProof/>
              </w:rPr>
              <w:t>Le cadre juridique</w:t>
            </w:r>
            <w:r w:rsidR="0097755A">
              <w:rPr>
                <w:noProof/>
                <w:webHidden/>
              </w:rPr>
              <w:tab/>
            </w:r>
            <w:r w:rsidR="0097755A">
              <w:rPr>
                <w:noProof/>
                <w:webHidden/>
              </w:rPr>
              <w:fldChar w:fldCharType="begin"/>
            </w:r>
            <w:r w:rsidR="0097755A">
              <w:rPr>
                <w:noProof/>
                <w:webHidden/>
              </w:rPr>
              <w:instrText xml:space="preserve"> PAGEREF _Toc191889105 \h </w:instrText>
            </w:r>
            <w:r w:rsidR="0097755A">
              <w:rPr>
                <w:noProof/>
                <w:webHidden/>
              </w:rPr>
            </w:r>
            <w:r w:rsidR="0097755A">
              <w:rPr>
                <w:noProof/>
                <w:webHidden/>
              </w:rPr>
              <w:fldChar w:fldCharType="separate"/>
            </w:r>
            <w:r w:rsidR="00634BAE">
              <w:rPr>
                <w:noProof/>
                <w:webHidden/>
              </w:rPr>
              <w:t>2</w:t>
            </w:r>
            <w:r w:rsidR="0097755A">
              <w:rPr>
                <w:noProof/>
                <w:webHidden/>
              </w:rPr>
              <w:fldChar w:fldCharType="end"/>
            </w:r>
          </w:hyperlink>
        </w:p>
        <w:p w14:paraId="1CD173D0" w14:textId="21103733" w:rsidR="0097755A" w:rsidRDefault="00000000">
          <w:pPr>
            <w:pStyle w:val="TM2"/>
            <w:tabs>
              <w:tab w:val="left" w:pos="880"/>
              <w:tab w:val="right" w:leader="dot" w:pos="9062"/>
            </w:tabs>
            <w:rPr>
              <w:noProof/>
              <w:sz w:val="22"/>
              <w:szCs w:val="22"/>
              <w:lang w:eastAsia="fr-FR"/>
            </w:rPr>
          </w:pPr>
          <w:hyperlink w:anchor="_Toc191889106" w:history="1">
            <w:r w:rsidR="0097755A" w:rsidRPr="00C21169">
              <w:rPr>
                <w:rStyle w:val="Lienhypertexte"/>
                <w:noProof/>
              </w:rPr>
              <w:t>2.2</w:t>
            </w:r>
            <w:r w:rsidR="0097755A">
              <w:rPr>
                <w:noProof/>
                <w:sz w:val="22"/>
                <w:szCs w:val="22"/>
                <w:lang w:eastAsia="fr-FR"/>
              </w:rPr>
              <w:tab/>
            </w:r>
            <w:r w:rsidR="0097755A" w:rsidRPr="00C21169">
              <w:rPr>
                <w:rStyle w:val="Lienhypertexte"/>
                <w:noProof/>
              </w:rPr>
              <w:t>Cas particuliers</w:t>
            </w:r>
            <w:r w:rsidR="0097755A">
              <w:rPr>
                <w:noProof/>
                <w:webHidden/>
              </w:rPr>
              <w:tab/>
            </w:r>
            <w:r w:rsidR="0097755A">
              <w:rPr>
                <w:noProof/>
                <w:webHidden/>
              </w:rPr>
              <w:fldChar w:fldCharType="begin"/>
            </w:r>
            <w:r w:rsidR="0097755A">
              <w:rPr>
                <w:noProof/>
                <w:webHidden/>
              </w:rPr>
              <w:instrText xml:space="preserve"> PAGEREF _Toc191889106 \h </w:instrText>
            </w:r>
            <w:r w:rsidR="0097755A">
              <w:rPr>
                <w:noProof/>
                <w:webHidden/>
              </w:rPr>
            </w:r>
            <w:r w:rsidR="0097755A">
              <w:rPr>
                <w:noProof/>
                <w:webHidden/>
              </w:rPr>
              <w:fldChar w:fldCharType="separate"/>
            </w:r>
            <w:r w:rsidR="00634BAE">
              <w:rPr>
                <w:noProof/>
                <w:webHidden/>
              </w:rPr>
              <w:t>3</w:t>
            </w:r>
            <w:r w:rsidR="0097755A">
              <w:rPr>
                <w:noProof/>
                <w:webHidden/>
              </w:rPr>
              <w:fldChar w:fldCharType="end"/>
            </w:r>
          </w:hyperlink>
        </w:p>
        <w:p w14:paraId="2A54ACA2" w14:textId="4AD8D3D7" w:rsidR="0097755A" w:rsidRDefault="00000000">
          <w:pPr>
            <w:pStyle w:val="TM3"/>
            <w:tabs>
              <w:tab w:val="left" w:pos="1100"/>
              <w:tab w:val="right" w:leader="dot" w:pos="9062"/>
            </w:tabs>
            <w:rPr>
              <w:noProof/>
              <w:sz w:val="22"/>
              <w:szCs w:val="22"/>
              <w:lang w:eastAsia="fr-FR"/>
            </w:rPr>
          </w:pPr>
          <w:hyperlink w:anchor="_Toc191889107" w:history="1">
            <w:r w:rsidR="0097755A" w:rsidRPr="00C21169">
              <w:rPr>
                <w:rStyle w:val="Lienhypertexte"/>
                <w:noProof/>
              </w:rPr>
              <w:t>2.2.1</w:t>
            </w:r>
            <w:r w:rsidR="0097755A">
              <w:rPr>
                <w:noProof/>
                <w:sz w:val="22"/>
                <w:szCs w:val="22"/>
                <w:lang w:eastAsia="fr-FR"/>
              </w:rPr>
              <w:tab/>
            </w:r>
            <w:r w:rsidR="0097755A" w:rsidRPr="00C21169">
              <w:rPr>
                <w:rStyle w:val="Lienhypertexte"/>
                <w:noProof/>
              </w:rPr>
              <w:t>Les formations privées</w:t>
            </w:r>
            <w:r w:rsidR="0097755A">
              <w:rPr>
                <w:noProof/>
                <w:webHidden/>
              </w:rPr>
              <w:tab/>
            </w:r>
            <w:r w:rsidR="0097755A">
              <w:rPr>
                <w:noProof/>
                <w:webHidden/>
              </w:rPr>
              <w:fldChar w:fldCharType="begin"/>
            </w:r>
            <w:r w:rsidR="0097755A">
              <w:rPr>
                <w:noProof/>
                <w:webHidden/>
              </w:rPr>
              <w:instrText xml:space="preserve"> PAGEREF _Toc191889107 \h </w:instrText>
            </w:r>
            <w:r w:rsidR="0097755A">
              <w:rPr>
                <w:noProof/>
                <w:webHidden/>
              </w:rPr>
            </w:r>
            <w:r w:rsidR="0097755A">
              <w:rPr>
                <w:noProof/>
                <w:webHidden/>
              </w:rPr>
              <w:fldChar w:fldCharType="separate"/>
            </w:r>
            <w:r w:rsidR="00634BAE">
              <w:rPr>
                <w:noProof/>
                <w:webHidden/>
              </w:rPr>
              <w:t>3</w:t>
            </w:r>
            <w:r w:rsidR="0097755A">
              <w:rPr>
                <w:noProof/>
                <w:webHidden/>
              </w:rPr>
              <w:fldChar w:fldCharType="end"/>
            </w:r>
          </w:hyperlink>
        </w:p>
        <w:p w14:paraId="0D6F93ED" w14:textId="380396DB" w:rsidR="0097755A" w:rsidRDefault="00000000">
          <w:pPr>
            <w:pStyle w:val="TM3"/>
            <w:tabs>
              <w:tab w:val="left" w:pos="1100"/>
              <w:tab w:val="right" w:leader="dot" w:pos="9062"/>
            </w:tabs>
            <w:rPr>
              <w:noProof/>
              <w:sz w:val="22"/>
              <w:szCs w:val="22"/>
              <w:lang w:eastAsia="fr-FR"/>
            </w:rPr>
          </w:pPr>
          <w:hyperlink w:anchor="_Toc191889108" w:history="1">
            <w:r w:rsidR="0097755A" w:rsidRPr="00C21169">
              <w:rPr>
                <w:rStyle w:val="Lienhypertexte"/>
                <w:noProof/>
              </w:rPr>
              <w:t>2.2.2</w:t>
            </w:r>
            <w:r w:rsidR="0097755A">
              <w:rPr>
                <w:noProof/>
                <w:sz w:val="22"/>
                <w:szCs w:val="22"/>
                <w:lang w:eastAsia="fr-FR"/>
              </w:rPr>
              <w:tab/>
            </w:r>
            <w:r w:rsidR="0097755A" w:rsidRPr="00C21169">
              <w:rPr>
                <w:rStyle w:val="Lienhypertexte"/>
                <w:noProof/>
              </w:rPr>
              <w:t>Les formations réalisant un classement unique, commun à plusieurs formations</w:t>
            </w:r>
            <w:r w:rsidR="0097755A">
              <w:rPr>
                <w:noProof/>
                <w:webHidden/>
              </w:rPr>
              <w:tab/>
            </w:r>
            <w:r w:rsidR="0097755A">
              <w:rPr>
                <w:noProof/>
                <w:webHidden/>
              </w:rPr>
              <w:fldChar w:fldCharType="begin"/>
            </w:r>
            <w:r w:rsidR="0097755A">
              <w:rPr>
                <w:noProof/>
                <w:webHidden/>
              </w:rPr>
              <w:instrText xml:space="preserve"> PAGEREF _Toc191889108 \h </w:instrText>
            </w:r>
            <w:r w:rsidR="0097755A">
              <w:rPr>
                <w:noProof/>
                <w:webHidden/>
              </w:rPr>
            </w:r>
            <w:r w:rsidR="0097755A">
              <w:rPr>
                <w:noProof/>
                <w:webHidden/>
              </w:rPr>
              <w:fldChar w:fldCharType="separate"/>
            </w:r>
            <w:r w:rsidR="00634BAE">
              <w:rPr>
                <w:noProof/>
                <w:webHidden/>
              </w:rPr>
              <w:t>4</w:t>
            </w:r>
            <w:r w:rsidR="0097755A">
              <w:rPr>
                <w:noProof/>
                <w:webHidden/>
              </w:rPr>
              <w:fldChar w:fldCharType="end"/>
            </w:r>
          </w:hyperlink>
        </w:p>
        <w:p w14:paraId="0C8AB31B" w14:textId="607B11AA" w:rsidR="0097755A" w:rsidRDefault="00000000">
          <w:pPr>
            <w:pStyle w:val="TM3"/>
            <w:tabs>
              <w:tab w:val="left" w:pos="1100"/>
              <w:tab w:val="right" w:leader="dot" w:pos="9062"/>
            </w:tabs>
            <w:rPr>
              <w:noProof/>
              <w:sz w:val="22"/>
              <w:szCs w:val="22"/>
              <w:lang w:eastAsia="fr-FR"/>
            </w:rPr>
          </w:pPr>
          <w:hyperlink w:anchor="_Toc191889109" w:history="1">
            <w:r w:rsidR="0097755A" w:rsidRPr="00C21169">
              <w:rPr>
                <w:rStyle w:val="Lienhypertexte"/>
                <w:noProof/>
              </w:rPr>
              <w:t>2.2.3</w:t>
            </w:r>
            <w:r w:rsidR="0097755A">
              <w:rPr>
                <w:noProof/>
                <w:sz w:val="22"/>
                <w:szCs w:val="22"/>
                <w:lang w:eastAsia="fr-FR"/>
              </w:rPr>
              <w:tab/>
            </w:r>
            <w:r w:rsidR="0097755A" w:rsidRPr="00C21169">
              <w:rPr>
                <w:rStyle w:val="Lienhypertexte"/>
                <w:noProof/>
              </w:rPr>
              <w:t>Les formations dispensées en Polynésie française et en Nouvelle-Calédonie</w:t>
            </w:r>
            <w:r w:rsidR="0097755A">
              <w:rPr>
                <w:noProof/>
                <w:webHidden/>
              </w:rPr>
              <w:tab/>
            </w:r>
            <w:r w:rsidR="0097755A">
              <w:rPr>
                <w:noProof/>
                <w:webHidden/>
              </w:rPr>
              <w:fldChar w:fldCharType="begin"/>
            </w:r>
            <w:r w:rsidR="0097755A">
              <w:rPr>
                <w:noProof/>
                <w:webHidden/>
              </w:rPr>
              <w:instrText xml:space="preserve"> PAGEREF _Toc191889109 \h </w:instrText>
            </w:r>
            <w:r w:rsidR="0097755A">
              <w:rPr>
                <w:noProof/>
                <w:webHidden/>
              </w:rPr>
            </w:r>
            <w:r w:rsidR="0097755A">
              <w:rPr>
                <w:noProof/>
                <w:webHidden/>
              </w:rPr>
              <w:fldChar w:fldCharType="separate"/>
            </w:r>
            <w:r w:rsidR="00634BAE">
              <w:rPr>
                <w:noProof/>
                <w:webHidden/>
              </w:rPr>
              <w:t>4</w:t>
            </w:r>
            <w:r w:rsidR="0097755A">
              <w:rPr>
                <w:noProof/>
                <w:webHidden/>
              </w:rPr>
              <w:fldChar w:fldCharType="end"/>
            </w:r>
          </w:hyperlink>
        </w:p>
        <w:p w14:paraId="4005DBA4" w14:textId="3B206884" w:rsidR="0097755A" w:rsidRDefault="00000000">
          <w:pPr>
            <w:pStyle w:val="TM2"/>
            <w:tabs>
              <w:tab w:val="left" w:pos="880"/>
              <w:tab w:val="right" w:leader="dot" w:pos="9062"/>
            </w:tabs>
            <w:rPr>
              <w:noProof/>
              <w:sz w:val="22"/>
              <w:szCs w:val="22"/>
              <w:lang w:eastAsia="fr-FR"/>
            </w:rPr>
          </w:pPr>
          <w:hyperlink w:anchor="_Toc191889110" w:history="1">
            <w:r w:rsidR="0097755A" w:rsidRPr="00C21169">
              <w:rPr>
                <w:rStyle w:val="Lienhypertexte"/>
                <w:noProof/>
              </w:rPr>
              <w:t>2.3</w:t>
            </w:r>
            <w:r w:rsidR="0097755A">
              <w:rPr>
                <w:noProof/>
                <w:sz w:val="22"/>
                <w:szCs w:val="22"/>
                <w:lang w:eastAsia="fr-FR"/>
              </w:rPr>
              <w:tab/>
            </w:r>
            <w:r w:rsidR="0097755A" w:rsidRPr="00C21169">
              <w:rPr>
                <w:rStyle w:val="Lienhypertexte"/>
                <w:noProof/>
              </w:rPr>
              <w:t>Exceptions</w:t>
            </w:r>
            <w:r w:rsidR="0097755A">
              <w:rPr>
                <w:noProof/>
                <w:webHidden/>
              </w:rPr>
              <w:tab/>
            </w:r>
            <w:r w:rsidR="0097755A">
              <w:rPr>
                <w:noProof/>
                <w:webHidden/>
              </w:rPr>
              <w:fldChar w:fldCharType="begin"/>
            </w:r>
            <w:r w:rsidR="0097755A">
              <w:rPr>
                <w:noProof/>
                <w:webHidden/>
              </w:rPr>
              <w:instrText xml:space="preserve"> PAGEREF _Toc191889110 \h </w:instrText>
            </w:r>
            <w:r w:rsidR="0097755A">
              <w:rPr>
                <w:noProof/>
                <w:webHidden/>
              </w:rPr>
            </w:r>
            <w:r w:rsidR="0097755A">
              <w:rPr>
                <w:noProof/>
                <w:webHidden/>
              </w:rPr>
              <w:fldChar w:fldCharType="separate"/>
            </w:r>
            <w:r w:rsidR="00634BAE">
              <w:rPr>
                <w:noProof/>
                <w:webHidden/>
              </w:rPr>
              <w:t>4</w:t>
            </w:r>
            <w:r w:rsidR="0097755A">
              <w:rPr>
                <w:noProof/>
                <w:webHidden/>
              </w:rPr>
              <w:fldChar w:fldCharType="end"/>
            </w:r>
          </w:hyperlink>
        </w:p>
        <w:p w14:paraId="3BC7EB56" w14:textId="0664C90C" w:rsidR="0097755A" w:rsidRDefault="00000000">
          <w:pPr>
            <w:pStyle w:val="TM1"/>
            <w:tabs>
              <w:tab w:val="left" w:pos="420"/>
              <w:tab w:val="right" w:leader="dot" w:pos="9062"/>
            </w:tabs>
            <w:rPr>
              <w:noProof/>
              <w:sz w:val="22"/>
              <w:szCs w:val="22"/>
              <w:lang w:eastAsia="fr-FR"/>
            </w:rPr>
          </w:pPr>
          <w:hyperlink w:anchor="_Toc191889111" w:history="1">
            <w:r w:rsidR="0097755A" w:rsidRPr="00C21169">
              <w:rPr>
                <w:rStyle w:val="Lienhypertexte"/>
                <w:noProof/>
              </w:rPr>
              <w:t>3</w:t>
            </w:r>
            <w:r w:rsidR="0097755A">
              <w:rPr>
                <w:noProof/>
                <w:sz w:val="22"/>
                <w:szCs w:val="22"/>
                <w:lang w:eastAsia="fr-FR"/>
              </w:rPr>
              <w:tab/>
            </w:r>
            <w:r w:rsidR="0097755A" w:rsidRPr="00C21169">
              <w:rPr>
                <w:rStyle w:val="Lienhypertexte"/>
                <w:noProof/>
              </w:rPr>
              <w:t>Calendrier de fixation des taux et publicité des taux</w:t>
            </w:r>
            <w:r w:rsidR="0097755A">
              <w:rPr>
                <w:noProof/>
                <w:webHidden/>
              </w:rPr>
              <w:tab/>
            </w:r>
            <w:r w:rsidR="0097755A">
              <w:rPr>
                <w:noProof/>
                <w:webHidden/>
              </w:rPr>
              <w:fldChar w:fldCharType="begin"/>
            </w:r>
            <w:r w:rsidR="0097755A">
              <w:rPr>
                <w:noProof/>
                <w:webHidden/>
              </w:rPr>
              <w:instrText xml:space="preserve"> PAGEREF _Toc191889111 \h </w:instrText>
            </w:r>
            <w:r w:rsidR="0097755A">
              <w:rPr>
                <w:noProof/>
                <w:webHidden/>
              </w:rPr>
            </w:r>
            <w:r w:rsidR="0097755A">
              <w:rPr>
                <w:noProof/>
                <w:webHidden/>
              </w:rPr>
              <w:fldChar w:fldCharType="separate"/>
            </w:r>
            <w:r w:rsidR="00634BAE">
              <w:rPr>
                <w:noProof/>
                <w:webHidden/>
              </w:rPr>
              <w:t>4</w:t>
            </w:r>
            <w:r w:rsidR="0097755A">
              <w:rPr>
                <w:noProof/>
                <w:webHidden/>
              </w:rPr>
              <w:fldChar w:fldCharType="end"/>
            </w:r>
          </w:hyperlink>
        </w:p>
        <w:p w14:paraId="7F9C0407" w14:textId="416439C3" w:rsidR="0097755A" w:rsidRDefault="00000000">
          <w:pPr>
            <w:pStyle w:val="TM1"/>
            <w:tabs>
              <w:tab w:val="left" w:pos="420"/>
              <w:tab w:val="right" w:leader="dot" w:pos="9062"/>
            </w:tabs>
            <w:rPr>
              <w:noProof/>
              <w:sz w:val="22"/>
              <w:szCs w:val="22"/>
              <w:lang w:eastAsia="fr-FR"/>
            </w:rPr>
          </w:pPr>
          <w:hyperlink w:anchor="_Toc191889112" w:history="1">
            <w:r w:rsidR="0097755A" w:rsidRPr="00C21169">
              <w:rPr>
                <w:rStyle w:val="Lienhypertexte"/>
                <w:noProof/>
              </w:rPr>
              <w:t>4</w:t>
            </w:r>
            <w:r w:rsidR="0097755A">
              <w:rPr>
                <w:noProof/>
                <w:sz w:val="22"/>
                <w:szCs w:val="22"/>
                <w:lang w:eastAsia="fr-FR"/>
              </w:rPr>
              <w:tab/>
            </w:r>
            <w:r w:rsidR="0097755A" w:rsidRPr="00C21169">
              <w:rPr>
                <w:rStyle w:val="Lienhypertexte"/>
                <w:noProof/>
              </w:rPr>
              <w:t>Application des pourcentages dans la phase d’examen des vœux</w:t>
            </w:r>
            <w:r w:rsidR="0097755A">
              <w:rPr>
                <w:noProof/>
                <w:webHidden/>
              </w:rPr>
              <w:tab/>
            </w:r>
            <w:r w:rsidR="0097755A">
              <w:rPr>
                <w:noProof/>
                <w:webHidden/>
              </w:rPr>
              <w:fldChar w:fldCharType="begin"/>
            </w:r>
            <w:r w:rsidR="0097755A">
              <w:rPr>
                <w:noProof/>
                <w:webHidden/>
              </w:rPr>
              <w:instrText xml:space="preserve"> PAGEREF _Toc191889112 \h </w:instrText>
            </w:r>
            <w:r w:rsidR="0097755A">
              <w:rPr>
                <w:noProof/>
                <w:webHidden/>
              </w:rPr>
            </w:r>
            <w:r w:rsidR="0097755A">
              <w:rPr>
                <w:noProof/>
                <w:webHidden/>
              </w:rPr>
              <w:fldChar w:fldCharType="separate"/>
            </w:r>
            <w:r w:rsidR="00634BAE">
              <w:rPr>
                <w:noProof/>
                <w:webHidden/>
              </w:rPr>
              <w:t>4</w:t>
            </w:r>
            <w:r w:rsidR="0097755A">
              <w:rPr>
                <w:noProof/>
                <w:webHidden/>
              </w:rPr>
              <w:fldChar w:fldCharType="end"/>
            </w:r>
          </w:hyperlink>
        </w:p>
        <w:p w14:paraId="1F536CD1" w14:textId="372CD3C0" w:rsidR="0097755A" w:rsidRDefault="00000000">
          <w:pPr>
            <w:pStyle w:val="TM2"/>
            <w:tabs>
              <w:tab w:val="left" w:pos="880"/>
              <w:tab w:val="right" w:leader="dot" w:pos="9062"/>
            </w:tabs>
            <w:rPr>
              <w:noProof/>
              <w:sz w:val="22"/>
              <w:szCs w:val="22"/>
              <w:lang w:eastAsia="fr-FR"/>
            </w:rPr>
          </w:pPr>
          <w:hyperlink w:anchor="_Toc191889113" w:history="1">
            <w:r w:rsidR="0097755A" w:rsidRPr="00C21169">
              <w:rPr>
                <w:rStyle w:val="Lienhypertexte"/>
                <w:noProof/>
              </w:rPr>
              <w:t>4.1</w:t>
            </w:r>
            <w:r w:rsidR="0097755A">
              <w:rPr>
                <w:noProof/>
                <w:sz w:val="22"/>
                <w:szCs w:val="22"/>
                <w:lang w:eastAsia="fr-FR"/>
              </w:rPr>
              <w:tab/>
            </w:r>
            <w:r w:rsidR="0097755A" w:rsidRPr="00C21169">
              <w:rPr>
                <w:rStyle w:val="Lienhypertexte"/>
                <w:noProof/>
              </w:rPr>
              <w:t>Les principes applicables selon les types de formations</w:t>
            </w:r>
            <w:r w:rsidR="0097755A">
              <w:rPr>
                <w:noProof/>
                <w:webHidden/>
              </w:rPr>
              <w:tab/>
            </w:r>
            <w:r w:rsidR="0097755A">
              <w:rPr>
                <w:noProof/>
                <w:webHidden/>
              </w:rPr>
              <w:fldChar w:fldCharType="begin"/>
            </w:r>
            <w:r w:rsidR="0097755A">
              <w:rPr>
                <w:noProof/>
                <w:webHidden/>
              </w:rPr>
              <w:instrText xml:space="preserve"> PAGEREF _Toc191889113 \h </w:instrText>
            </w:r>
            <w:r w:rsidR="0097755A">
              <w:rPr>
                <w:noProof/>
                <w:webHidden/>
              </w:rPr>
            </w:r>
            <w:r w:rsidR="0097755A">
              <w:rPr>
                <w:noProof/>
                <w:webHidden/>
              </w:rPr>
              <w:fldChar w:fldCharType="separate"/>
            </w:r>
            <w:r w:rsidR="00634BAE">
              <w:rPr>
                <w:noProof/>
                <w:webHidden/>
              </w:rPr>
              <w:t>4</w:t>
            </w:r>
            <w:r w:rsidR="0097755A">
              <w:rPr>
                <w:noProof/>
                <w:webHidden/>
              </w:rPr>
              <w:fldChar w:fldCharType="end"/>
            </w:r>
          </w:hyperlink>
        </w:p>
        <w:p w14:paraId="5E825388" w14:textId="0A7AF5A2" w:rsidR="0097755A" w:rsidRDefault="00000000">
          <w:pPr>
            <w:pStyle w:val="TM2"/>
            <w:tabs>
              <w:tab w:val="left" w:pos="880"/>
              <w:tab w:val="right" w:leader="dot" w:pos="9062"/>
            </w:tabs>
            <w:rPr>
              <w:noProof/>
              <w:sz w:val="22"/>
              <w:szCs w:val="22"/>
              <w:lang w:eastAsia="fr-FR"/>
            </w:rPr>
          </w:pPr>
          <w:hyperlink w:anchor="_Toc191889114" w:history="1">
            <w:r w:rsidR="0097755A" w:rsidRPr="00C21169">
              <w:rPr>
                <w:rStyle w:val="Lienhypertexte"/>
                <w:noProof/>
              </w:rPr>
              <w:t>4.2</w:t>
            </w:r>
            <w:r w:rsidR="0097755A">
              <w:rPr>
                <w:noProof/>
                <w:sz w:val="22"/>
                <w:szCs w:val="22"/>
                <w:lang w:eastAsia="fr-FR"/>
              </w:rPr>
              <w:tab/>
            </w:r>
            <w:r w:rsidR="0097755A" w:rsidRPr="00C21169">
              <w:rPr>
                <w:rStyle w:val="Lienhypertexte"/>
                <w:noProof/>
              </w:rPr>
              <w:t>Déclinaison concrète</w:t>
            </w:r>
            <w:r w:rsidR="0097755A">
              <w:rPr>
                <w:noProof/>
                <w:webHidden/>
              </w:rPr>
              <w:tab/>
            </w:r>
            <w:r w:rsidR="0097755A">
              <w:rPr>
                <w:noProof/>
                <w:webHidden/>
              </w:rPr>
              <w:fldChar w:fldCharType="begin"/>
            </w:r>
            <w:r w:rsidR="0097755A">
              <w:rPr>
                <w:noProof/>
                <w:webHidden/>
              </w:rPr>
              <w:instrText xml:space="preserve"> PAGEREF _Toc191889114 \h </w:instrText>
            </w:r>
            <w:r w:rsidR="0097755A">
              <w:rPr>
                <w:noProof/>
                <w:webHidden/>
              </w:rPr>
            </w:r>
            <w:r w:rsidR="0097755A">
              <w:rPr>
                <w:noProof/>
                <w:webHidden/>
              </w:rPr>
              <w:fldChar w:fldCharType="separate"/>
            </w:r>
            <w:r w:rsidR="00634BAE">
              <w:rPr>
                <w:noProof/>
                <w:webHidden/>
              </w:rPr>
              <w:t>5</w:t>
            </w:r>
            <w:r w:rsidR="0097755A">
              <w:rPr>
                <w:noProof/>
                <w:webHidden/>
              </w:rPr>
              <w:fldChar w:fldCharType="end"/>
            </w:r>
          </w:hyperlink>
        </w:p>
        <w:p w14:paraId="48CB7ECB" w14:textId="5E90B295" w:rsidR="0097755A" w:rsidRDefault="00000000">
          <w:pPr>
            <w:pStyle w:val="TM1"/>
            <w:tabs>
              <w:tab w:val="left" w:pos="420"/>
              <w:tab w:val="right" w:leader="dot" w:pos="9062"/>
            </w:tabs>
            <w:rPr>
              <w:noProof/>
              <w:sz w:val="22"/>
              <w:szCs w:val="22"/>
              <w:lang w:eastAsia="fr-FR"/>
            </w:rPr>
          </w:pPr>
          <w:hyperlink w:anchor="_Toc191889115" w:history="1">
            <w:r w:rsidR="0097755A" w:rsidRPr="00C21169">
              <w:rPr>
                <w:rStyle w:val="Lienhypertexte"/>
                <w:noProof/>
              </w:rPr>
              <w:t>5</w:t>
            </w:r>
            <w:r w:rsidR="0097755A">
              <w:rPr>
                <w:noProof/>
                <w:sz w:val="22"/>
                <w:szCs w:val="22"/>
                <w:lang w:eastAsia="fr-FR"/>
              </w:rPr>
              <w:tab/>
            </w:r>
            <w:r w:rsidR="0097755A" w:rsidRPr="00C21169">
              <w:rPr>
                <w:rStyle w:val="Lienhypertexte"/>
                <w:noProof/>
              </w:rPr>
              <w:t>Propriétés de l’ordre d’appel</w:t>
            </w:r>
            <w:r w:rsidR="0097755A">
              <w:rPr>
                <w:noProof/>
                <w:webHidden/>
              </w:rPr>
              <w:tab/>
            </w:r>
            <w:r w:rsidR="0097755A">
              <w:rPr>
                <w:noProof/>
                <w:webHidden/>
              </w:rPr>
              <w:fldChar w:fldCharType="begin"/>
            </w:r>
            <w:r w:rsidR="0097755A">
              <w:rPr>
                <w:noProof/>
                <w:webHidden/>
              </w:rPr>
              <w:instrText xml:space="preserve"> PAGEREF _Toc191889115 \h </w:instrText>
            </w:r>
            <w:r w:rsidR="0097755A">
              <w:rPr>
                <w:noProof/>
                <w:webHidden/>
              </w:rPr>
            </w:r>
            <w:r w:rsidR="0097755A">
              <w:rPr>
                <w:noProof/>
                <w:webHidden/>
              </w:rPr>
              <w:fldChar w:fldCharType="separate"/>
            </w:r>
            <w:r w:rsidR="00634BAE">
              <w:rPr>
                <w:noProof/>
                <w:webHidden/>
              </w:rPr>
              <w:t>5</w:t>
            </w:r>
            <w:r w:rsidR="0097755A">
              <w:rPr>
                <w:noProof/>
                <w:webHidden/>
              </w:rPr>
              <w:fldChar w:fldCharType="end"/>
            </w:r>
          </w:hyperlink>
        </w:p>
        <w:p w14:paraId="2D0F7077" w14:textId="540F37D5" w:rsidR="00F81954" w:rsidRDefault="00F81954">
          <w:r>
            <w:rPr>
              <w:b/>
              <w:bCs/>
            </w:rPr>
            <w:fldChar w:fldCharType="end"/>
          </w:r>
        </w:p>
      </w:sdtContent>
    </w:sdt>
    <w:p w14:paraId="04653309" w14:textId="6CFFE482" w:rsidR="00F81954" w:rsidRDefault="00F81954">
      <w:pPr>
        <w:jc w:val="left"/>
        <w:rPr>
          <w:rFonts w:asciiTheme="majorHAnsi" w:eastAsiaTheme="majorEastAsia" w:hAnsiTheme="majorHAnsi" w:cstheme="majorBidi"/>
          <w:caps/>
          <w:color w:val="3D566E"/>
          <w:spacing w:val="30"/>
          <w:sz w:val="22"/>
          <w:szCs w:val="22"/>
        </w:rPr>
      </w:pPr>
      <w:r>
        <w:rPr>
          <w:sz w:val="22"/>
          <w:szCs w:val="22"/>
        </w:rPr>
        <w:br w:type="page"/>
      </w:r>
    </w:p>
    <w:p w14:paraId="1E5EFFA1" w14:textId="55F910A2" w:rsidR="00053B6E" w:rsidRPr="00FB24CD" w:rsidRDefault="002D111C" w:rsidP="00FB24CD">
      <w:pPr>
        <w:pStyle w:val="Titre"/>
      </w:pPr>
      <w:r w:rsidRPr="00FB24CD">
        <w:lastRenderedPageBreak/>
        <mc:AlternateContent>
          <mc:Choice Requires="wps">
            <w:drawing>
              <wp:anchor distT="0" distB="0" distL="114300" distR="114300" simplePos="0" relativeHeight="251659264" behindDoc="0" locked="0" layoutInCell="1" allowOverlap="1" wp14:anchorId="1797C9E0" wp14:editId="15301A73">
                <wp:simplePos x="0" y="0"/>
                <wp:positionH relativeFrom="margin">
                  <wp:align>right</wp:align>
                </wp:positionH>
                <wp:positionV relativeFrom="paragraph">
                  <wp:posOffset>-8890</wp:posOffset>
                </wp:positionV>
                <wp:extent cx="5734050" cy="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5734050" cy="0"/>
                        </a:xfrm>
                        <a:prstGeom prst="line">
                          <a:avLst/>
                        </a:prstGeom>
                        <a:ln>
                          <a:solidFill>
                            <a:srgbClr val="7878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44D03" id="Connecteur droit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7pt" to="85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" strokecolor="#787878">
                <w10:wrap anchorx="margin"/>
              </v:line>
            </w:pict>
          </mc:Fallback>
        </mc:AlternateContent>
      </w:r>
    </w:p>
    <w:p w14:paraId="3D8193A9" w14:textId="4CF64CC3" w:rsidR="003505E7" w:rsidRPr="00327495" w:rsidRDefault="00053B6E" w:rsidP="00BD4CA4">
      <w:pPr>
        <w:pStyle w:val="Titre1"/>
        <w:spacing w:before="360" w:line="300" w:lineRule="exact"/>
        <w:ind w:left="431" w:hanging="431"/>
      </w:pPr>
      <w:bookmarkStart w:id="0" w:name="_Toc191889103"/>
      <w:r w:rsidRPr="00327495">
        <w:rPr>
          <w:rStyle w:val="Titre1Car"/>
        </w:rPr>
        <w:t>Objet de la note</w:t>
      </w:r>
      <w:bookmarkEnd w:id="0"/>
      <w:r w:rsidRPr="00327495">
        <w:rPr>
          <w:rStyle w:val="Titre1Car"/>
        </w:rPr>
        <w:t xml:space="preserve"> </w:t>
      </w:r>
    </w:p>
    <w:p w14:paraId="45F0BBEE" w14:textId="372F27D6" w:rsidR="00053B6E" w:rsidRPr="002F78FE" w:rsidRDefault="00053B6E" w:rsidP="00BD4CA4">
      <w:pPr>
        <w:spacing w:line="300" w:lineRule="exact"/>
      </w:pPr>
      <w:r w:rsidRPr="002F78FE">
        <w:t xml:space="preserve">La présente note a pour objet de </w:t>
      </w:r>
      <w:r w:rsidR="002D4AE7">
        <w:t xml:space="preserve">rappeler le cadre juridique applicable pour la fixation des taux </w:t>
      </w:r>
      <w:r w:rsidR="009B6D22">
        <w:t xml:space="preserve">permettant </w:t>
      </w:r>
      <w:r w:rsidR="002D4AE7">
        <w:t xml:space="preserve">la mise en œuvre des objectifs de mobilité sociale et </w:t>
      </w:r>
      <w:r w:rsidR="00107A25">
        <w:t>territoriale</w:t>
      </w:r>
      <w:r w:rsidR="002D4AE7">
        <w:t xml:space="preserve"> dans le cadre de</w:t>
      </w:r>
      <w:r w:rsidRPr="002F78FE">
        <w:t xml:space="preserve"> la </w:t>
      </w:r>
      <w:r w:rsidR="0062659B">
        <w:t xml:space="preserve">phase </w:t>
      </w:r>
      <w:r w:rsidRPr="002F78FE">
        <w:t xml:space="preserve">d’admission </w:t>
      </w:r>
      <w:r w:rsidR="00CA5B57">
        <w:t xml:space="preserve">principale </w:t>
      </w:r>
      <w:r w:rsidR="0062659B">
        <w:t xml:space="preserve">de la plateforme </w:t>
      </w:r>
      <w:r w:rsidRPr="002F78FE">
        <w:t>Parcoursup.</w:t>
      </w:r>
    </w:p>
    <w:p w14:paraId="3F668416" w14:textId="08057D12" w:rsidR="003505E7" w:rsidRPr="00327495" w:rsidRDefault="00026481" w:rsidP="007F6417">
      <w:pPr>
        <w:pStyle w:val="Titre1"/>
        <w:spacing w:before="240" w:line="300" w:lineRule="exact"/>
        <w:ind w:left="431" w:hanging="431"/>
      </w:pPr>
      <w:bookmarkStart w:id="1" w:name="_Toc191889104"/>
      <w:r>
        <w:rPr>
          <w:rStyle w:val="Titre1Car"/>
        </w:rPr>
        <w:t>Principes</w:t>
      </w:r>
      <w:bookmarkEnd w:id="1"/>
      <w:r>
        <w:rPr>
          <w:rStyle w:val="Titre1Car"/>
        </w:rPr>
        <w:t xml:space="preserve"> </w:t>
      </w:r>
    </w:p>
    <w:p w14:paraId="5AE605AD" w14:textId="1D06B710" w:rsidR="00BD4CA4" w:rsidRDefault="00026481" w:rsidP="006A06D0">
      <w:pPr>
        <w:pStyle w:val="Titre2"/>
        <w:spacing w:before="240" w:after="120"/>
        <w:ind w:left="578" w:hanging="578"/>
      </w:pPr>
      <w:bookmarkStart w:id="2" w:name="_Toc191889105"/>
      <w:r>
        <w:t>L</w:t>
      </w:r>
      <w:r w:rsidR="006A06D0">
        <w:t>e</w:t>
      </w:r>
      <w:r>
        <w:t xml:space="preserve"> cadre juridique</w:t>
      </w:r>
      <w:bookmarkEnd w:id="2"/>
    </w:p>
    <w:p w14:paraId="32939705" w14:textId="23CA22D4" w:rsidR="002D4AE7" w:rsidRPr="002D4AE7" w:rsidRDefault="002D4AE7" w:rsidP="006A06D0">
      <w:pPr>
        <w:spacing w:line="300" w:lineRule="exact"/>
      </w:pPr>
      <w:r w:rsidRPr="002D4AE7">
        <w:t xml:space="preserve">L’article L. 612-3 du code de l’éducation, tel qu’issu de la loi du 8 mars 2018 relative à l'orientation et à la réussite des étudiants, prévoit que sont mis en œuvre : </w:t>
      </w:r>
    </w:p>
    <w:p w14:paraId="6315721B" w14:textId="7D61FD46" w:rsidR="002D4AE7" w:rsidRDefault="002D4AE7" w:rsidP="002D4AE7">
      <w:pPr>
        <w:pStyle w:val="Paragraphedeliste"/>
        <w:numPr>
          <w:ilvl w:val="0"/>
          <w:numId w:val="15"/>
        </w:numPr>
        <w:spacing w:after="120" w:line="240" w:lineRule="auto"/>
        <w:ind w:hanging="357"/>
        <w:contextualSpacing w:val="0"/>
      </w:pPr>
      <w:proofErr w:type="gramStart"/>
      <w:r w:rsidRPr="002D4AE7">
        <w:t>dans</w:t>
      </w:r>
      <w:proofErr w:type="gramEnd"/>
      <w:r w:rsidRPr="002D4AE7">
        <w:t xml:space="preserve"> les filières sélectives</w:t>
      </w:r>
      <w:r w:rsidR="00627B43">
        <w:t xml:space="preserve"> publiques</w:t>
      </w:r>
      <w:r w:rsidR="00DF6F1D">
        <w:t> :</w:t>
      </w:r>
      <w:r w:rsidRPr="002D4AE7">
        <w:t xml:space="preserve"> un </w:t>
      </w:r>
      <w:r w:rsidR="00640E01">
        <w:t>taux</w:t>
      </w:r>
      <w:r w:rsidRPr="002D4AE7">
        <w:t xml:space="preserve"> minimal de bacheliers retenus bénéficiaires d’une bourse nationale de lycée,</w:t>
      </w:r>
    </w:p>
    <w:p w14:paraId="14EEA7F7" w14:textId="77777777" w:rsidR="00F15764" w:rsidRPr="00FB24CD" w:rsidRDefault="00F15764" w:rsidP="00F15764">
      <w:pPr>
        <w:pStyle w:val="Corps"/>
        <w:pBdr>
          <w:top w:val="single" w:sz="4" w:space="1" w:color="000000" w:shadow="1"/>
          <w:left w:val="single" w:sz="4" w:space="4" w:color="000000" w:shadow="1"/>
          <w:bottom w:val="single" w:sz="4" w:space="1" w:color="000000" w:shadow="1"/>
          <w:right w:val="single" w:sz="4" w:space="4" w:color="000000" w:shadow="1"/>
          <w:between w:val="none" w:sz="0" w:space="0" w:color="auto"/>
          <w:bar w:val="none" w:sz="0" w:color="auto"/>
        </w:pBdr>
        <w:spacing w:after="0" w:line="240" w:lineRule="auto"/>
        <w:jc w:val="both"/>
        <w:rPr>
          <w:rFonts w:asciiTheme="majorHAnsi" w:eastAsia="Calibri" w:hAnsiTheme="majorHAnsi" w:cs="Calibri"/>
          <w:b/>
          <w:i/>
          <w:iCs/>
          <w:color w:val="2F2F2F"/>
          <w:sz w:val="18"/>
          <w:szCs w:val="18"/>
          <w:u w:color="2F2F2F"/>
        </w:rPr>
      </w:pPr>
      <w:r w:rsidRPr="00FB24CD">
        <w:rPr>
          <w:rFonts w:asciiTheme="majorHAnsi" w:eastAsia="Calibri" w:hAnsiTheme="majorHAnsi" w:cs="Calibri"/>
          <w:b/>
          <w:i/>
          <w:iCs/>
          <w:color w:val="2F2F2F"/>
          <w:sz w:val="18"/>
          <w:szCs w:val="18"/>
          <w:u w:color="2F2F2F"/>
        </w:rPr>
        <w:t>Extrait de l’article L. 612-3 du code de l’éducation :</w:t>
      </w:r>
    </w:p>
    <w:p w14:paraId="22AE6A4D" w14:textId="0246E96A" w:rsidR="00F15764" w:rsidRPr="00FB24CD" w:rsidRDefault="00F15764" w:rsidP="00F15764">
      <w:pPr>
        <w:pStyle w:val="Corps"/>
        <w:pBdr>
          <w:top w:val="single" w:sz="4" w:space="1" w:color="000000" w:shadow="1"/>
          <w:left w:val="single" w:sz="4" w:space="4" w:color="000000" w:shadow="1"/>
          <w:bottom w:val="single" w:sz="4" w:space="1" w:color="000000" w:shadow="1"/>
          <w:right w:val="single" w:sz="4" w:space="4" w:color="000000" w:shadow="1"/>
          <w:between w:val="none" w:sz="0" w:space="0" w:color="auto"/>
          <w:bar w:val="none" w:sz="0" w:color="auto"/>
        </w:pBdr>
        <w:spacing w:after="0" w:line="240" w:lineRule="auto"/>
        <w:jc w:val="both"/>
        <w:rPr>
          <w:rFonts w:asciiTheme="majorHAnsi" w:eastAsia="Calibri" w:hAnsiTheme="majorHAnsi" w:cs="Calibri"/>
          <w:i/>
          <w:iCs/>
          <w:color w:val="2F2F2F"/>
          <w:sz w:val="12"/>
          <w:szCs w:val="12"/>
          <w:u w:color="2F2F2F"/>
        </w:rPr>
      </w:pPr>
    </w:p>
    <w:p w14:paraId="1830CEF6" w14:textId="5399664A" w:rsidR="00F15764" w:rsidRPr="00FB24CD" w:rsidRDefault="00F15764" w:rsidP="00F15764">
      <w:pPr>
        <w:pStyle w:val="Corps"/>
        <w:pBdr>
          <w:top w:val="single" w:sz="4" w:space="1" w:color="000000" w:shadow="1"/>
          <w:left w:val="single" w:sz="4" w:space="4" w:color="000000" w:shadow="1"/>
          <w:bottom w:val="single" w:sz="4" w:space="1" w:color="000000" w:shadow="1"/>
          <w:right w:val="single" w:sz="4" w:space="4" w:color="000000" w:shadow="1"/>
          <w:between w:val="none" w:sz="0" w:space="0" w:color="auto"/>
          <w:bar w:val="none" w:sz="0" w:color="auto"/>
        </w:pBdr>
        <w:spacing w:after="0" w:line="240" w:lineRule="auto"/>
        <w:jc w:val="both"/>
        <w:rPr>
          <w:rFonts w:asciiTheme="majorHAnsi" w:eastAsia="Calibri" w:hAnsiTheme="majorHAnsi" w:cs="Calibri"/>
          <w:i/>
          <w:iCs/>
          <w:color w:val="2F2F2F"/>
          <w:sz w:val="18"/>
          <w:szCs w:val="18"/>
          <w:u w:color="2F2F2F"/>
        </w:rPr>
      </w:pPr>
      <w:r w:rsidRPr="00FB24CD">
        <w:rPr>
          <w:rFonts w:asciiTheme="majorHAnsi" w:eastAsia="Calibri" w:hAnsiTheme="majorHAnsi" w:cs="Calibri"/>
          <w:i/>
          <w:iCs/>
          <w:color w:val="2F2F2F"/>
          <w:sz w:val="18"/>
          <w:szCs w:val="18"/>
          <w:u w:color="2F2F2F"/>
        </w:rPr>
        <w:t>V</w:t>
      </w:r>
      <w:r>
        <w:rPr>
          <w:rFonts w:asciiTheme="majorHAnsi" w:eastAsia="Calibri" w:hAnsiTheme="majorHAnsi" w:cs="Calibri"/>
          <w:i/>
          <w:iCs/>
          <w:color w:val="2F2F2F"/>
          <w:sz w:val="18"/>
          <w:szCs w:val="18"/>
          <w:u w:color="2F2F2F"/>
        </w:rPr>
        <w:t>I</w:t>
      </w:r>
      <w:r w:rsidRPr="00FB24CD">
        <w:rPr>
          <w:rFonts w:asciiTheme="majorHAnsi" w:eastAsia="Calibri" w:hAnsiTheme="majorHAnsi" w:cs="Calibri"/>
          <w:i/>
          <w:iCs/>
          <w:color w:val="2F2F2F"/>
          <w:sz w:val="18"/>
          <w:szCs w:val="18"/>
          <w:u w:color="2F2F2F"/>
        </w:rPr>
        <w:t xml:space="preserve">.- </w:t>
      </w:r>
      <w:r>
        <w:rPr>
          <w:rFonts w:asciiTheme="majorHAnsi" w:eastAsia="Calibri" w:hAnsiTheme="majorHAnsi" w:cs="Calibri"/>
          <w:i/>
          <w:iCs/>
          <w:color w:val="2F2F2F"/>
          <w:sz w:val="18"/>
          <w:szCs w:val="18"/>
          <w:u w:color="2F2F2F"/>
        </w:rPr>
        <w:t xml:space="preserve">(...) </w:t>
      </w:r>
      <w:r w:rsidRPr="00F15764">
        <w:rPr>
          <w:rFonts w:asciiTheme="majorHAnsi" w:eastAsia="Calibri" w:hAnsiTheme="majorHAnsi" w:cs="Calibri"/>
          <w:i/>
          <w:iCs/>
          <w:color w:val="2F2F2F"/>
          <w:sz w:val="18"/>
          <w:szCs w:val="18"/>
          <w:u w:color="2F2F2F"/>
        </w:rPr>
        <w:t>Sans préjudice des dispositions des deux derniers alinéas de l'article L. 611-1 et de l'article L. 621-3, pour l'accès aux formations mentionnées au premier alinéa du présent VI, l'autorité académique fixe un pourcentage minimal de bacheliers retenus bénéficiaires d'une bourse nationale de lycée.</w:t>
      </w:r>
    </w:p>
    <w:p w14:paraId="333E5BFE" w14:textId="77777777" w:rsidR="00F15764" w:rsidRPr="002D4AE7" w:rsidRDefault="00F15764" w:rsidP="002B0382">
      <w:pPr>
        <w:spacing w:after="0" w:line="240" w:lineRule="auto"/>
        <w:ind w:left="363"/>
      </w:pPr>
    </w:p>
    <w:p w14:paraId="48C7671A" w14:textId="50755183" w:rsidR="002D4AE7" w:rsidRPr="002D4AE7" w:rsidRDefault="002D4AE7" w:rsidP="00CE63D5">
      <w:pPr>
        <w:pStyle w:val="Paragraphedeliste"/>
        <w:numPr>
          <w:ilvl w:val="0"/>
          <w:numId w:val="15"/>
        </w:numPr>
        <w:spacing w:after="240" w:line="240" w:lineRule="auto"/>
        <w:ind w:hanging="357"/>
        <w:contextualSpacing w:val="0"/>
      </w:pPr>
      <w:proofErr w:type="gramStart"/>
      <w:r w:rsidRPr="002D4AE7">
        <w:t>dans</w:t>
      </w:r>
      <w:proofErr w:type="gramEnd"/>
      <w:r w:rsidRPr="002D4AE7">
        <w:t xml:space="preserve"> les filières non sélectives </w:t>
      </w:r>
      <w:r w:rsidR="00627B43">
        <w:t xml:space="preserve">publiques </w:t>
      </w:r>
      <w:r w:rsidRPr="002D4AE7">
        <w:t xml:space="preserve">pour lesquelles le nombre de vœux confirmés excède les capacités d’accueil : </w:t>
      </w:r>
    </w:p>
    <w:p w14:paraId="24CB1C80" w14:textId="25E90A33" w:rsidR="002D4AE7" w:rsidRPr="002D4AE7" w:rsidRDefault="002D4AE7" w:rsidP="00CE63D5">
      <w:pPr>
        <w:pStyle w:val="Paragraphedeliste"/>
        <w:numPr>
          <w:ilvl w:val="1"/>
          <w:numId w:val="15"/>
        </w:numPr>
        <w:tabs>
          <w:tab w:val="left" w:pos="993"/>
        </w:tabs>
        <w:spacing w:after="240" w:line="240" w:lineRule="auto"/>
        <w:ind w:left="993" w:hanging="306"/>
        <w:contextualSpacing w:val="0"/>
      </w:pPr>
      <w:proofErr w:type="gramStart"/>
      <w:r w:rsidRPr="002D4AE7">
        <w:t>un</w:t>
      </w:r>
      <w:proofErr w:type="gramEnd"/>
      <w:r w:rsidRPr="002D4AE7">
        <w:t xml:space="preserve"> </w:t>
      </w:r>
      <w:r w:rsidR="00640E01">
        <w:t>taux</w:t>
      </w:r>
      <w:r w:rsidRPr="002D4AE7">
        <w:t xml:space="preserve"> minimal de bacheliers retenus bénéficiaires d’une bourse nationale de lycée</w:t>
      </w:r>
      <w:r w:rsidR="00290FA0">
        <w:rPr>
          <w:rStyle w:val="Appelnotedebasdep"/>
        </w:rPr>
        <w:footnoteReference w:id="1"/>
      </w:r>
      <w:r w:rsidR="006F4FB0">
        <w:t> ;</w:t>
      </w:r>
    </w:p>
    <w:p w14:paraId="1F111BFD" w14:textId="7EE5AB11" w:rsidR="002D4AE7" w:rsidRDefault="002D4AE7" w:rsidP="002D4AE7">
      <w:pPr>
        <w:pStyle w:val="Paragraphedeliste"/>
        <w:numPr>
          <w:ilvl w:val="1"/>
          <w:numId w:val="15"/>
        </w:numPr>
        <w:tabs>
          <w:tab w:val="left" w:pos="993"/>
        </w:tabs>
        <w:spacing w:line="300" w:lineRule="exact"/>
        <w:ind w:left="993" w:hanging="306"/>
      </w:pPr>
      <w:proofErr w:type="gramStart"/>
      <w:r w:rsidRPr="002D4AE7">
        <w:t>un</w:t>
      </w:r>
      <w:proofErr w:type="gramEnd"/>
      <w:r w:rsidRPr="002D4AE7">
        <w:t xml:space="preserve"> </w:t>
      </w:r>
      <w:r w:rsidR="00640E01">
        <w:t>taux</w:t>
      </w:r>
      <w:r w:rsidRPr="002D4AE7">
        <w:t xml:space="preserve"> maximal de </w:t>
      </w:r>
      <w:r w:rsidR="00DE0420">
        <w:t>candidats</w:t>
      </w:r>
      <w:r w:rsidRPr="002D4AE7">
        <w:t xml:space="preserve"> retenus résidant dans une académie </w:t>
      </w:r>
      <w:r w:rsidR="006F4FB0" w:rsidRPr="006F4FB0">
        <w:t xml:space="preserve">(ou </w:t>
      </w:r>
      <w:r w:rsidR="00E905B9">
        <w:t>dans un</w:t>
      </w:r>
      <w:r w:rsidR="00E905B9" w:rsidRPr="006F4FB0">
        <w:t xml:space="preserve"> </w:t>
      </w:r>
      <w:r w:rsidR="006F4FB0" w:rsidRPr="006F4FB0">
        <w:t>secteur lorsque le bassin de recrutement ne correspond pas à l’académie</w:t>
      </w:r>
      <w:r w:rsidR="00FB24CD">
        <w:rPr>
          <w:rStyle w:val="Appelnotedebasdep"/>
        </w:rPr>
        <w:footnoteReference w:id="2"/>
      </w:r>
      <w:r w:rsidR="006F4FB0" w:rsidRPr="006F4FB0">
        <w:t xml:space="preserve">) </w:t>
      </w:r>
      <w:r w:rsidRPr="002D4AE7">
        <w:t>autre que celle dans laquelle est situé l'établissement de la formation demandée.</w:t>
      </w:r>
    </w:p>
    <w:p w14:paraId="4B314154" w14:textId="77777777" w:rsidR="002D4AE7" w:rsidRPr="00FB24CD" w:rsidRDefault="002D4AE7" w:rsidP="002D4AE7">
      <w:pPr>
        <w:pStyle w:val="Corps"/>
        <w:pBdr>
          <w:top w:val="single" w:sz="4" w:space="1" w:color="000000" w:shadow="1"/>
          <w:left w:val="single" w:sz="4" w:space="4" w:color="000000" w:shadow="1"/>
          <w:bottom w:val="single" w:sz="4" w:space="1" w:color="000000" w:shadow="1"/>
          <w:right w:val="single" w:sz="4" w:space="4" w:color="000000" w:shadow="1"/>
          <w:between w:val="none" w:sz="0" w:space="0" w:color="auto"/>
          <w:bar w:val="none" w:sz="0" w:color="auto"/>
        </w:pBdr>
        <w:spacing w:after="0" w:line="240" w:lineRule="auto"/>
        <w:jc w:val="both"/>
        <w:rPr>
          <w:rFonts w:asciiTheme="majorHAnsi" w:eastAsia="Calibri" w:hAnsiTheme="majorHAnsi" w:cs="Calibri"/>
          <w:b/>
          <w:i/>
          <w:iCs/>
          <w:color w:val="2F2F2F"/>
          <w:sz w:val="18"/>
          <w:szCs w:val="18"/>
          <w:u w:color="2F2F2F"/>
        </w:rPr>
      </w:pPr>
      <w:r w:rsidRPr="00FB24CD">
        <w:rPr>
          <w:rFonts w:asciiTheme="majorHAnsi" w:eastAsia="Calibri" w:hAnsiTheme="majorHAnsi" w:cs="Calibri"/>
          <w:b/>
          <w:i/>
          <w:iCs/>
          <w:color w:val="2F2F2F"/>
          <w:sz w:val="18"/>
          <w:szCs w:val="18"/>
          <w:u w:color="2F2F2F"/>
        </w:rPr>
        <w:t>Extrait de l’article L. 612-3 du code de l’éducation :</w:t>
      </w:r>
    </w:p>
    <w:p w14:paraId="3BA40470" w14:textId="77777777" w:rsidR="002D4AE7" w:rsidRPr="00FB24CD" w:rsidRDefault="002D4AE7" w:rsidP="002D4AE7">
      <w:pPr>
        <w:pStyle w:val="Corps"/>
        <w:pBdr>
          <w:top w:val="single" w:sz="4" w:space="1" w:color="000000" w:shadow="1"/>
          <w:left w:val="single" w:sz="4" w:space="4" w:color="000000" w:shadow="1"/>
          <w:bottom w:val="single" w:sz="4" w:space="1" w:color="000000" w:shadow="1"/>
          <w:right w:val="single" w:sz="4" w:space="4" w:color="000000" w:shadow="1"/>
          <w:between w:val="none" w:sz="0" w:space="0" w:color="auto"/>
          <w:bar w:val="none" w:sz="0" w:color="auto"/>
        </w:pBdr>
        <w:spacing w:after="0" w:line="240" w:lineRule="auto"/>
        <w:jc w:val="both"/>
        <w:rPr>
          <w:rFonts w:asciiTheme="majorHAnsi" w:eastAsia="Calibri" w:hAnsiTheme="majorHAnsi" w:cs="Calibri"/>
          <w:i/>
          <w:iCs/>
          <w:color w:val="2F2F2F"/>
          <w:sz w:val="12"/>
          <w:szCs w:val="12"/>
          <w:u w:color="2F2F2F"/>
        </w:rPr>
      </w:pPr>
    </w:p>
    <w:p w14:paraId="1E4B1D1F" w14:textId="77777777" w:rsidR="002D4AE7" w:rsidRPr="00FB24CD" w:rsidRDefault="002D4AE7" w:rsidP="002D4AE7">
      <w:pPr>
        <w:pStyle w:val="Corps"/>
        <w:pBdr>
          <w:top w:val="single" w:sz="4" w:space="1" w:color="000000" w:shadow="1"/>
          <w:left w:val="single" w:sz="4" w:space="4" w:color="000000" w:shadow="1"/>
          <w:bottom w:val="single" w:sz="4" w:space="1" w:color="000000" w:shadow="1"/>
          <w:right w:val="single" w:sz="4" w:space="4" w:color="000000" w:shadow="1"/>
          <w:between w:val="none" w:sz="0" w:space="0" w:color="auto"/>
          <w:bar w:val="none" w:sz="0" w:color="auto"/>
        </w:pBdr>
        <w:spacing w:after="0" w:line="240" w:lineRule="auto"/>
        <w:jc w:val="both"/>
        <w:rPr>
          <w:rFonts w:asciiTheme="majorHAnsi" w:eastAsia="Calibri" w:hAnsiTheme="majorHAnsi" w:cs="Calibri"/>
          <w:i/>
          <w:iCs/>
          <w:color w:val="2F2F2F"/>
          <w:sz w:val="18"/>
          <w:szCs w:val="18"/>
          <w:u w:color="2F2F2F"/>
        </w:rPr>
      </w:pPr>
      <w:r w:rsidRPr="00FB24CD">
        <w:rPr>
          <w:rFonts w:asciiTheme="majorHAnsi" w:eastAsia="Calibri" w:hAnsiTheme="majorHAnsi" w:cs="Calibri"/>
          <w:i/>
          <w:iCs/>
          <w:color w:val="2F2F2F"/>
          <w:sz w:val="18"/>
          <w:szCs w:val="18"/>
          <w:u w:color="2F2F2F"/>
        </w:rPr>
        <w:t xml:space="preserve">« V.- Pour l'accès aux formations autres que celles mentionnées au VI, lorsque le nombre de candidatures excède les capacités d'accueil d'une formation, l'autorité </w:t>
      </w:r>
      <w:proofErr w:type="spellStart"/>
      <w:r w:rsidRPr="00FB24CD">
        <w:rPr>
          <w:rFonts w:asciiTheme="majorHAnsi" w:eastAsia="Calibri" w:hAnsiTheme="majorHAnsi" w:cs="Calibri"/>
          <w:i/>
          <w:iCs/>
          <w:color w:val="2F2F2F"/>
          <w:sz w:val="18"/>
          <w:szCs w:val="18"/>
          <w:u w:color="2F2F2F"/>
          <w:lang w:val="es-ES_tradnl"/>
        </w:rPr>
        <w:t>acad</w:t>
      </w:r>
      <w:proofErr w:type="spellEnd"/>
      <w:r w:rsidRPr="00FB24CD">
        <w:rPr>
          <w:rFonts w:asciiTheme="majorHAnsi" w:eastAsia="Calibri" w:hAnsiTheme="majorHAnsi" w:cs="Calibri"/>
          <w:i/>
          <w:iCs/>
          <w:color w:val="2F2F2F"/>
          <w:sz w:val="18"/>
          <w:szCs w:val="18"/>
          <w:u w:color="2F2F2F"/>
        </w:rPr>
        <w:t xml:space="preserve">émique fixe un pourcentage minimal de bacheliers retenus bénéficiaires d'une bourse nationale de lycée, en fonction du rapport entre le nombre de ces bacheliers boursiers candidats à </w:t>
      </w:r>
      <w:r w:rsidRPr="00FB24CD">
        <w:rPr>
          <w:rFonts w:asciiTheme="majorHAnsi" w:eastAsia="Calibri" w:hAnsiTheme="majorHAnsi" w:cs="Calibri"/>
          <w:i/>
          <w:iCs/>
          <w:color w:val="2F2F2F"/>
          <w:sz w:val="18"/>
          <w:szCs w:val="18"/>
          <w:u w:color="2F2F2F"/>
          <w:lang w:val="it-IT"/>
        </w:rPr>
        <w:t>l'acc</w:t>
      </w:r>
      <w:r w:rsidRPr="00FB24CD">
        <w:rPr>
          <w:rFonts w:asciiTheme="majorHAnsi" w:eastAsia="Calibri" w:hAnsiTheme="majorHAnsi" w:cs="Calibri"/>
          <w:i/>
          <w:iCs/>
          <w:color w:val="2F2F2F"/>
          <w:sz w:val="18"/>
          <w:szCs w:val="18"/>
          <w:u w:color="2F2F2F"/>
        </w:rPr>
        <w:t>ès à cette formation et le nombre total de demandes d'inscription dans cette formation enregistrées dans le cadre de la procédure de préinscription prévue au deuxième alinéa du I.</w:t>
      </w:r>
    </w:p>
    <w:p w14:paraId="42A8FF56" w14:textId="77777777" w:rsidR="002D4AE7" w:rsidRPr="00FB24CD" w:rsidRDefault="002D4AE7" w:rsidP="002D4AE7">
      <w:pPr>
        <w:pStyle w:val="Corps"/>
        <w:pBdr>
          <w:top w:val="single" w:sz="4" w:space="1" w:color="000000" w:shadow="1"/>
          <w:left w:val="single" w:sz="4" w:space="4" w:color="000000" w:shadow="1"/>
          <w:bottom w:val="single" w:sz="4" w:space="1" w:color="000000" w:shadow="1"/>
          <w:right w:val="single" w:sz="4" w:space="4" w:color="000000" w:shadow="1"/>
          <w:between w:val="none" w:sz="0" w:space="0" w:color="auto"/>
          <w:bar w:val="none" w:sz="0" w:color="auto"/>
        </w:pBdr>
        <w:spacing w:after="0" w:line="240" w:lineRule="auto"/>
        <w:jc w:val="both"/>
        <w:rPr>
          <w:rFonts w:asciiTheme="majorHAnsi" w:eastAsia="Calibri" w:hAnsiTheme="majorHAnsi" w:cs="Calibri"/>
          <w:i/>
          <w:iCs/>
          <w:color w:val="2F2F2F"/>
          <w:sz w:val="18"/>
          <w:szCs w:val="18"/>
          <w:u w:color="2F2F2F"/>
        </w:rPr>
      </w:pPr>
      <w:r w:rsidRPr="00FB24CD">
        <w:rPr>
          <w:rFonts w:asciiTheme="majorHAnsi" w:eastAsia="Calibri" w:hAnsiTheme="majorHAnsi" w:cs="Calibri"/>
          <w:i/>
          <w:iCs/>
          <w:color w:val="2F2F2F"/>
          <w:sz w:val="18"/>
          <w:szCs w:val="18"/>
          <w:u w:color="2F2F2F"/>
        </w:rPr>
        <w:t>« Pour l'accès à ces mêmes formations et compte tenu du nombre de candidats à ces formations résidant dans l'</w:t>
      </w:r>
      <w:proofErr w:type="spellStart"/>
      <w:r w:rsidRPr="00FB24CD">
        <w:rPr>
          <w:rFonts w:asciiTheme="majorHAnsi" w:eastAsia="Calibri" w:hAnsiTheme="majorHAnsi" w:cs="Calibri"/>
          <w:i/>
          <w:iCs/>
          <w:color w:val="2F2F2F"/>
          <w:sz w:val="18"/>
          <w:szCs w:val="18"/>
          <w:u w:color="2F2F2F"/>
        </w:rPr>
        <w:t>acadé</w:t>
      </w:r>
      <w:proofErr w:type="spellEnd"/>
      <w:r w:rsidRPr="00FB24CD">
        <w:rPr>
          <w:rFonts w:asciiTheme="majorHAnsi" w:eastAsia="Calibri" w:hAnsiTheme="majorHAnsi" w:cs="Calibri"/>
          <w:i/>
          <w:iCs/>
          <w:color w:val="2F2F2F"/>
          <w:sz w:val="18"/>
          <w:szCs w:val="18"/>
          <w:u w:color="2F2F2F"/>
          <w:lang w:val="it-IT"/>
        </w:rPr>
        <w:t>mie, l'autorit</w:t>
      </w:r>
      <w:r w:rsidRPr="00FB24CD">
        <w:rPr>
          <w:rFonts w:asciiTheme="majorHAnsi" w:eastAsia="Calibri" w:hAnsiTheme="majorHAnsi" w:cs="Calibri"/>
          <w:i/>
          <w:iCs/>
          <w:color w:val="2F2F2F"/>
          <w:sz w:val="18"/>
          <w:szCs w:val="18"/>
          <w:u w:color="2F2F2F"/>
        </w:rPr>
        <w:t xml:space="preserve">é </w:t>
      </w:r>
      <w:proofErr w:type="spellStart"/>
      <w:r w:rsidRPr="00FB24CD">
        <w:rPr>
          <w:rFonts w:asciiTheme="majorHAnsi" w:eastAsia="Calibri" w:hAnsiTheme="majorHAnsi" w:cs="Calibri"/>
          <w:i/>
          <w:iCs/>
          <w:color w:val="2F2F2F"/>
          <w:sz w:val="18"/>
          <w:szCs w:val="18"/>
          <w:u w:color="2F2F2F"/>
          <w:lang w:val="es-ES_tradnl"/>
        </w:rPr>
        <w:t>acad</w:t>
      </w:r>
      <w:proofErr w:type="spellEnd"/>
      <w:r w:rsidRPr="00FB24CD">
        <w:rPr>
          <w:rFonts w:asciiTheme="majorHAnsi" w:eastAsia="Calibri" w:hAnsiTheme="majorHAnsi" w:cs="Calibri"/>
          <w:i/>
          <w:iCs/>
          <w:color w:val="2F2F2F"/>
          <w:sz w:val="18"/>
          <w:szCs w:val="18"/>
          <w:u w:color="2F2F2F"/>
        </w:rPr>
        <w:t>émique fixe également, afin de faciliter l'accès des bacheliers qui le souhaitent aux formations d'enseignement supérieur situées dans l'académie o</w:t>
      </w:r>
      <w:r w:rsidRPr="00FB24CD">
        <w:rPr>
          <w:rFonts w:asciiTheme="majorHAnsi" w:eastAsia="Calibri" w:hAnsiTheme="majorHAnsi" w:cs="Calibri"/>
          <w:i/>
          <w:iCs/>
          <w:color w:val="2F2F2F"/>
          <w:sz w:val="18"/>
          <w:szCs w:val="18"/>
          <w:u w:color="2F2F2F"/>
          <w:lang w:val="it-IT"/>
        </w:rPr>
        <w:t xml:space="preserve">ù </w:t>
      </w:r>
      <w:r w:rsidRPr="00FB24CD">
        <w:rPr>
          <w:rFonts w:asciiTheme="majorHAnsi" w:eastAsia="Calibri" w:hAnsiTheme="majorHAnsi" w:cs="Calibri"/>
          <w:i/>
          <w:iCs/>
          <w:color w:val="2F2F2F"/>
          <w:sz w:val="18"/>
          <w:szCs w:val="18"/>
          <w:u w:color="2F2F2F"/>
        </w:rPr>
        <w:t>ils résident, un pourcentage maximal de bacheliers retenus résidant dans une académie autre que celle dans laquelle est situé l'établissement. Pour l'application du présent alinéa, sont assimilés à des candidats résidant dans l'académie o</w:t>
      </w:r>
      <w:r w:rsidRPr="00FB24CD">
        <w:rPr>
          <w:rFonts w:asciiTheme="majorHAnsi" w:eastAsia="Calibri" w:hAnsiTheme="majorHAnsi" w:cs="Calibri"/>
          <w:i/>
          <w:iCs/>
          <w:color w:val="2F2F2F"/>
          <w:sz w:val="18"/>
          <w:szCs w:val="18"/>
          <w:u w:color="2F2F2F"/>
          <w:lang w:val="it-IT"/>
        </w:rPr>
        <w:t xml:space="preserve">ù </w:t>
      </w:r>
      <w:r w:rsidRPr="00FB24CD">
        <w:rPr>
          <w:rFonts w:asciiTheme="majorHAnsi" w:eastAsia="Calibri" w:hAnsiTheme="majorHAnsi" w:cs="Calibri"/>
          <w:i/>
          <w:iCs/>
          <w:color w:val="2F2F2F"/>
          <w:sz w:val="18"/>
          <w:szCs w:val="18"/>
          <w:u w:color="2F2F2F"/>
        </w:rPr>
        <w:t>se situe la formation à laquelle ils présentent leur candidature (…) ».</w:t>
      </w:r>
    </w:p>
    <w:p w14:paraId="68584E3F" w14:textId="77777777" w:rsidR="002D4AE7" w:rsidRPr="00FB24CD" w:rsidRDefault="002D4AE7" w:rsidP="006F4FB0">
      <w:pPr>
        <w:spacing w:after="0" w:line="240" w:lineRule="auto"/>
        <w:rPr>
          <w:sz w:val="18"/>
          <w:szCs w:val="18"/>
        </w:rPr>
      </w:pPr>
    </w:p>
    <w:p w14:paraId="0999D4AA" w14:textId="4A200BC7" w:rsidR="006F4FB0" w:rsidRDefault="006F4FB0" w:rsidP="006F4FB0">
      <w:pPr>
        <w:spacing w:line="300" w:lineRule="exact"/>
      </w:pPr>
      <w:r w:rsidRPr="006F4FB0">
        <w:t xml:space="preserve">Pour </w:t>
      </w:r>
      <w:r>
        <w:t xml:space="preserve">favoriser l’orientation des bacheliers professionnels et technologiques vers les filières courtes de l’enseignement supérieur, l’article </w:t>
      </w:r>
      <w:r w:rsidRPr="002D4AE7">
        <w:t>L. 612-3 du code de l’éducation</w:t>
      </w:r>
      <w:r>
        <w:t xml:space="preserve"> prévoi</w:t>
      </w:r>
      <w:r w:rsidR="009B6D22">
        <w:t>t</w:t>
      </w:r>
      <w:r>
        <w:t xml:space="preserve"> également pour l’accès </w:t>
      </w:r>
      <w:r w:rsidRPr="006F4FB0">
        <w:t xml:space="preserve">aux </w:t>
      </w:r>
      <w:r>
        <w:t>STS</w:t>
      </w:r>
      <w:r w:rsidR="00DF6F1D">
        <w:t xml:space="preserve">, </w:t>
      </w:r>
      <w:r w:rsidR="00DF6F1D" w:rsidRPr="006F4FB0">
        <w:t xml:space="preserve">un </w:t>
      </w:r>
      <w:r w:rsidR="00DF6F1D">
        <w:t>taux</w:t>
      </w:r>
      <w:r w:rsidR="00DF6F1D" w:rsidRPr="006F4FB0">
        <w:t xml:space="preserve"> minimal de bacheliers professionnels retenus</w:t>
      </w:r>
      <w:r w:rsidRPr="006F4FB0">
        <w:t xml:space="preserve"> et aux </w:t>
      </w:r>
      <w:r>
        <w:t>IUT</w:t>
      </w:r>
      <w:r w:rsidRPr="006F4FB0">
        <w:t xml:space="preserve">, un </w:t>
      </w:r>
      <w:r w:rsidR="00640E01">
        <w:t>taux</w:t>
      </w:r>
      <w:r w:rsidRPr="006F4FB0">
        <w:t xml:space="preserve"> minimal de bacheliers technologiques</w:t>
      </w:r>
      <w:r>
        <w:t xml:space="preserve"> retenus</w:t>
      </w:r>
      <w:r w:rsidR="00A62F88">
        <w:rPr>
          <w:rStyle w:val="Appelnotedebasdep"/>
        </w:rPr>
        <w:footnoteReference w:id="3"/>
      </w:r>
      <w:r>
        <w:t>.</w:t>
      </w:r>
      <w:r w:rsidR="00A62F88">
        <w:t xml:space="preserve"> </w:t>
      </w:r>
    </w:p>
    <w:p w14:paraId="168DC326" w14:textId="77777777" w:rsidR="006F4FB0" w:rsidRPr="006F4FB0" w:rsidRDefault="006F4FB0" w:rsidP="006F4FB0">
      <w:pPr>
        <w:pStyle w:val="Corps"/>
        <w:pBdr>
          <w:top w:val="single" w:sz="4" w:space="1" w:color="000000" w:shadow="1"/>
          <w:left w:val="single" w:sz="4" w:space="4" w:color="000000" w:shadow="1"/>
          <w:bottom w:val="single" w:sz="4" w:space="1" w:color="000000" w:shadow="1"/>
          <w:right w:val="single" w:sz="4" w:space="4" w:color="000000" w:shadow="1"/>
          <w:between w:val="none" w:sz="0" w:space="0" w:color="auto"/>
          <w:bar w:val="none" w:sz="0" w:color="auto"/>
        </w:pBdr>
        <w:spacing w:after="0" w:line="240" w:lineRule="auto"/>
        <w:jc w:val="both"/>
        <w:rPr>
          <w:rFonts w:asciiTheme="majorHAnsi" w:eastAsia="Calibri" w:hAnsiTheme="majorHAnsi" w:cs="Calibri"/>
          <w:b/>
          <w:i/>
          <w:iCs/>
          <w:color w:val="2F2F2F"/>
          <w:sz w:val="18"/>
          <w:szCs w:val="18"/>
          <w:u w:color="2F2F2F"/>
        </w:rPr>
      </w:pPr>
      <w:r w:rsidRPr="006F4FB0">
        <w:rPr>
          <w:rFonts w:asciiTheme="majorHAnsi" w:eastAsia="Calibri" w:hAnsiTheme="majorHAnsi" w:cs="Calibri"/>
          <w:b/>
          <w:i/>
          <w:iCs/>
          <w:color w:val="2F2F2F"/>
          <w:sz w:val="18"/>
          <w:szCs w:val="18"/>
          <w:u w:color="2F2F2F"/>
        </w:rPr>
        <w:lastRenderedPageBreak/>
        <w:t>Extrait de l’article L. 612-3 du code de l’éducation :</w:t>
      </w:r>
    </w:p>
    <w:p w14:paraId="57844B57" w14:textId="77777777" w:rsidR="006F4FB0" w:rsidRPr="00FB24CD" w:rsidRDefault="006F4FB0" w:rsidP="006F4FB0">
      <w:pPr>
        <w:pStyle w:val="Corps"/>
        <w:pBdr>
          <w:top w:val="single" w:sz="4" w:space="1" w:color="000000" w:shadow="1"/>
          <w:left w:val="single" w:sz="4" w:space="4" w:color="000000" w:shadow="1"/>
          <w:bottom w:val="single" w:sz="4" w:space="1" w:color="000000" w:shadow="1"/>
          <w:right w:val="single" w:sz="4" w:space="4" w:color="000000" w:shadow="1"/>
          <w:between w:val="none" w:sz="0" w:space="0" w:color="auto"/>
          <w:bar w:val="none" w:sz="0" w:color="auto"/>
        </w:pBdr>
        <w:spacing w:after="0" w:line="240" w:lineRule="auto"/>
        <w:jc w:val="both"/>
        <w:rPr>
          <w:rFonts w:asciiTheme="majorHAnsi" w:eastAsia="Calibri" w:hAnsiTheme="majorHAnsi" w:cs="Calibri"/>
          <w:i/>
          <w:iCs/>
          <w:color w:val="2F2F2F"/>
          <w:sz w:val="12"/>
          <w:szCs w:val="12"/>
          <w:u w:color="2F2F2F"/>
        </w:rPr>
      </w:pPr>
    </w:p>
    <w:p w14:paraId="6E6B894E" w14:textId="411F2457" w:rsidR="002D4AE7" w:rsidRPr="006F4FB0" w:rsidRDefault="006F4FB0" w:rsidP="006F4FB0">
      <w:pPr>
        <w:pStyle w:val="Corps"/>
        <w:pBdr>
          <w:top w:val="single" w:sz="4" w:space="1" w:color="000000" w:shadow="1"/>
          <w:left w:val="single" w:sz="4" w:space="4" w:color="000000" w:shadow="1"/>
          <w:bottom w:val="single" w:sz="4" w:space="1" w:color="000000" w:shadow="1"/>
          <w:right w:val="single" w:sz="4" w:space="4" w:color="000000" w:shadow="1"/>
          <w:between w:val="none" w:sz="0" w:space="0" w:color="auto"/>
          <w:bar w:val="none" w:sz="0" w:color="auto"/>
        </w:pBdr>
        <w:spacing w:after="0" w:line="240" w:lineRule="auto"/>
        <w:jc w:val="both"/>
        <w:rPr>
          <w:rFonts w:asciiTheme="majorHAnsi" w:eastAsia="Calibri" w:hAnsiTheme="majorHAnsi" w:cs="Calibri"/>
          <w:i/>
          <w:iCs/>
          <w:color w:val="2F2F2F"/>
          <w:sz w:val="18"/>
          <w:szCs w:val="18"/>
          <w:u w:color="2F2F2F"/>
        </w:rPr>
      </w:pPr>
      <w:r w:rsidRPr="006F4FB0">
        <w:rPr>
          <w:rFonts w:asciiTheme="majorHAnsi" w:eastAsia="Calibri" w:hAnsiTheme="majorHAnsi" w:cs="Calibri"/>
          <w:i/>
          <w:iCs/>
          <w:color w:val="2F2F2F"/>
          <w:sz w:val="18"/>
          <w:szCs w:val="18"/>
          <w:u w:color="2F2F2F"/>
        </w:rPr>
        <w:t>VII.-</w:t>
      </w:r>
      <w:r>
        <w:rPr>
          <w:rFonts w:asciiTheme="majorHAnsi" w:eastAsia="Calibri" w:hAnsiTheme="majorHAnsi" w:cs="Calibri"/>
          <w:i/>
          <w:iCs/>
          <w:color w:val="2F2F2F"/>
          <w:sz w:val="18"/>
          <w:szCs w:val="18"/>
          <w:u w:color="2F2F2F"/>
        </w:rPr>
        <w:t xml:space="preserve"> </w:t>
      </w:r>
      <w:r w:rsidRPr="006F4FB0">
        <w:rPr>
          <w:rFonts w:asciiTheme="majorHAnsi" w:eastAsia="Calibri" w:hAnsiTheme="majorHAnsi" w:cs="Calibri"/>
          <w:i/>
          <w:iCs/>
          <w:color w:val="2F2F2F"/>
          <w:sz w:val="18"/>
          <w:szCs w:val="18"/>
          <w:u w:color="2F2F2F"/>
        </w:rPr>
        <w:t>En tenant compte de la spécialité du diplôme préparé et des demandes enregistrées dans le cadre de la procédure de préinscription prévue au deuxième alinéa du I, l'autorité académique prévoit, pour l'accès aux sections de techniciens supérieurs et aux instituts universitaires de technologie, respectivement un pourcentage minimal de bacheliers professionnels retenus et un pourcentage minimal de bacheliers technologiques retenus ainsi que les modalités permettant de garantir la cohérence entre les acquis de la formation antérieure du candidat et les caractéristiques de la formation demandée. Ces pourcentages et ces modalités sont fixés en concertation avec les présidents d'université, les directeurs des instituts universitaires de technologie, les directeurs des centres de formation d'apprentis et les proviseurs des lycées ayant des sections de techniciens supérieurs, chacun pour ce qui le concerne. </w:t>
      </w:r>
    </w:p>
    <w:p w14:paraId="7E6F3AC3" w14:textId="00D31505" w:rsidR="001C0BBC" w:rsidRDefault="003D0653" w:rsidP="00CE63D5">
      <w:pPr>
        <w:spacing w:before="240" w:line="300" w:lineRule="exact"/>
      </w:pPr>
      <w:r>
        <w:t>Sous</w:t>
      </w:r>
      <w:r w:rsidR="00CE63D5">
        <w:t xml:space="preserve"> la réserve du VI de l’article L. 612-3 du code de l’éducation, t</w:t>
      </w:r>
      <w:r w:rsidR="001C0BBC" w:rsidRPr="001C0BBC">
        <w:t xml:space="preserve">outes les formations initiales des établissements publics </w:t>
      </w:r>
      <w:r w:rsidR="007F6417">
        <w:t xml:space="preserve">présents sur Parcoursup </w:t>
      </w:r>
      <w:r w:rsidR="001C0BBC" w:rsidRPr="001C0BBC">
        <w:t>sont concernées, quel que soit le type de formation ou le ministère de tutelle</w:t>
      </w:r>
      <w:r w:rsidR="001C0BBC">
        <w:t>.</w:t>
      </w:r>
      <w:r w:rsidR="001C0BBC" w:rsidRPr="001C0BBC">
        <w:t xml:space="preserve"> </w:t>
      </w:r>
    </w:p>
    <w:p w14:paraId="3BB07872" w14:textId="56C3FEC2" w:rsidR="001C0BBC" w:rsidRDefault="004F4CA8" w:rsidP="00932FD3">
      <w:pPr>
        <w:spacing w:line="300" w:lineRule="exact"/>
      </w:pPr>
      <w:r>
        <w:rPr>
          <w:rFonts w:eastAsiaTheme="minorHAnsi"/>
        </w:rPr>
        <w:t xml:space="preserve">Un seul et même taux est fixé </w:t>
      </w:r>
      <w:r w:rsidRPr="00E507AB">
        <w:rPr>
          <w:rFonts w:eastAsiaTheme="minorHAnsi"/>
        </w:rPr>
        <w:t xml:space="preserve">pour chaque formation </w:t>
      </w:r>
      <w:r>
        <w:rPr>
          <w:rFonts w:eastAsiaTheme="minorHAnsi"/>
        </w:rPr>
        <w:t xml:space="preserve">– y compris pour les </w:t>
      </w:r>
      <w:r w:rsidRPr="00E507AB">
        <w:rPr>
          <w:rFonts w:eastAsiaTheme="minorHAnsi"/>
        </w:rPr>
        <w:t>concours ou examen</w:t>
      </w:r>
      <w:r>
        <w:rPr>
          <w:rFonts w:eastAsiaTheme="minorHAnsi"/>
        </w:rPr>
        <w:t>s</w:t>
      </w:r>
      <w:r w:rsidRPr="00E507AB">
        <w:rPr>
          <w:rFonts w:eastAsiaTheme="minorHAnsi"/>
        </w:rPr>
        <w:t xml:space="preserve"> commun</w:t>
      </w:r>
      <w:r w:rsidR="002713C3">
        <w:rPr>
          <w:rFonts w:eastAsiaTheme="minorHAnsi"/>
        </w:rPr>
        <w:t>s</w:t>
      </w:r>
      <w:r w:rsidRPr="00E507AB">
        <w:rPr>
          <w:rFonts w:eastAsiaTheme="minorHAnsi"/>
        </w:rPr>
        <w:t xml:space="preserve"> (de type regroupement IFSI)</w:t>
      </w:r>
      <w:r>
        <w:rPr>
          <w:rFonts w:eastAsiaTheme="minorHAnsi"/>
        </w:rPr>
        <w:t xml:space="preserve"> -ou pour chaque jury, pour les formations avec jury multiples (certains concours, mentions de licences distinguant LAS et Licenc</w:t>
      </w:r>
      <w:r w:rsidR="003D0653">
        <w:rPr>
          <w:rFonts w:eastAsiaTheme="minorHAnsi"/>
        </w:rPr>
        <w:t>e socle ou encore les CPGE ECG)</w:t>
      </w:r>
      <w:r>
        <w:t>. Ces taux font l’objet</w:t>
      </w:r>
      <w:r w:rsidR="006F4FB0" w:rsidRPr="00CE5F4F">
        <w:t xml:space="preserve"> </w:t>
      </w:r>
      <w:r>
        <w:t>d’un</w:t>
      </w:r>
      <w:r w:rsidR="006F4FB0" w:rsidRPr="00CE5F4F">
        <w:t xml:space="preserve"> </w:t>
      </w:r>
      <w:r w:rsidR="009D6B5F" w:rsidRPr="00CE5F4F">
        <w:t>arrêté du</w:t>
      </w:r>
      <w:r w:rsidR="006F4FB0" w:rsidRPr="00CE5F4F">
        <w:t xml:space="preserve"> recteur </w:t>
      </w:r>
      <w:r w:rsidR="00932FD3">
        <w:t>de région académique</w:t>
      </w:r>
      <w:r w:rsidR="00377F98">
        <w:t>,</w:t>
      </w:r>
      <w:r w:rsidR="009D6B5F" w:rsidRPr="00CE5F4F">
        <w:t xml:space="preserve"> </w:t>
      </w:r>
      <w:r w:rsidR="003D0653">
        <w:t xml:space="preserve">pris </w:t>
      </w:r>
      <w:r w:rsidR="006F4FB0" w:rsidRPr="00CE5F4F">
        <w:t>en concertation avec les présidents d'université ou les chefs d’établissements concerné</w:t>
      </w:r>
      <w:r w:rsidR="009D6B5F" w:rsidRPr="00CE5F4F">
        <w:t>s et, le cas échéant, en lien avec l'autorité dont relève l'établi</w:t>
      </w:r>
      <w:r w:rsidR="00640E01">
        <w:t>ssement dispensant la formation</w:t>
      </w:r>
      <w:r w:rsidR="009D6B5F" w:rsidRPr="00CE5F4F">
        <w:t xml:space="preserve">. </w:t>
      </w:r>
    </w:p>
    <w:p w14:paraId="5C928238" w14:textId="4820D02A" w:rsidR="009D6B5F" w:rsidRPr="009D6B5F" w:rsidRDefault="009D6B5F" w:rsidP="00932FD3">
      <w:pPr>
        <w:spacing w:line="300" w:lineRule="exact"/>
      </w:pPr>
      <w:r w:rsidRPr="00CE5F4F">
        <w:t xml:space="preserve">Par exception, l’article D. 612-1-3 du code de l’éducation prévoit que </w:t>
      </w:r>
      <w:r w:rsidR="00932FD3" w:rsidRPr="00932FD3">
        <w:t>p</w:t>
      </w:r>
      <w:r w:rsidR="009B6D22" w:rsidRPr="00932FD3">
        <w:t>our les établissements relevant du ministre en charge de l’agriculture</w:t>
      </w:r>
      <w:r w:rsidR="00932FD3">
        <w:t xml:space="preserve">, </w:t>
      </w:r>
      <w:r>
        <w:t xml:space="preserve">les </w:t>
      </w:r>
      <w:r w:rsidR="00E905B9">
        <w:t xml:space="preserve">taux </w:t>
      </w:r>
      <w:r>
        <w:t xml:space="preserve">relatifs aux </w:t>
      </w:r>
      <w:r w:rsidRPr="002D4AE7">
        <w:t>bénéficiaires d’une bourse nationale de lycée</w:t>
      </w:r>
      <w:r>
        <w:t xml:space="preserve"> et aux bacheliers professionnels sont fixés </w:t>
      </w:r>
      <w:r w:rsidRPr="009D6B5F">
        <w:t>par le directeur régional de l'alimentation, de l'agriculture et de la forêt.</w:t>
      </w:r>
    </w:p>
    <w:p w14:paraId="27FF1F11" w14:textId="22F2E11E" w:rsidR="006F4FB0" w:rsidRPr="00026481" w:rsidRDefault="00E43874" w:rsidP="006A06D0">
      <w:pPr>
        <w:pStyle w:val="Titre2"/>
        <w:spacing w:before="240" w:after="120"/>
        <w:ind w:left="578" w:hanging="578"/>
      </w:pPr>
      <w:bookmarkStart w:id="3" w:name="_Toc191889106"/>
      <w:r w:rsidRPr="00026481">
        <w:t>C</w:t>
      </w:r>
      <w:r w:rsidR="006F4FB0" w:rsidRPr="00026481">
        <w:t>as particulier</w:t>
      </w:r>
      <w:r w:rsidRPr="00026481">
        <w:t>s</w:t>
      </w:r>
      <w:bookmarkEnd w:id="3"/>
    </w:p>
    <w:p w14:paraId="4956776C" w14:textId="0CB25046" w:rsidR="00627B43" w:rsidRDefault="00627B43" w:rsidP="00627B43">
      <w:pPr>
        <w:pStyle w:val="Titre3"/>
      </w:pPr>
      <w:bookmarkStart w:id="4" w:name="_Toc191889107"/>
      <w:r>
        <w:t>Les formations privées</w:t>
      </w:r>
      <w:bookmarkEnd w:id="4"/>
    </w:p>
    <w:p w14:paraId="3FC4E7D4" w14:textId="6F7F2710" w:rsidR="00627B43" w:rsidRDefault="00627B43" w:rsidP="00BD4CA4">
      <w:pPr>
        <w:spacing w:line="300" w:lineRule="exact"/>
      </w:pPr>
      <w:r>
        <w:t xml:space="preserve">Les </w:t>
      </w:r>
      <w:r w:rsidR="00BB322C">
        <w:t>taux ne sont applicables aux formations privées que lorsqu’ils sont prévus par un texte réglementaire spécifique ou par une convention</w:t>
      </w:r>
      <w:r w:rsidR="00C01B8D">
        <w:t xml:space="preserve"> conclue avec le ministère de tutelle</w:t>
      </w:r>
      <w:r w:rsidR="00BB322C">
        <w:t>.</w:t>
      </w:r>
    </w:p>
    <w:p w14:paraId="05CE3118" w14:textId="3205F609" w:rsidR="00BB322C" w:rsidRDefault="00BB322C" w:rsidP="00BD4CA4">
      <w:pPr>
        <w:spacing w:line="300" w:lineRule="exact"/>
      </w:pPr>
      <w:r>
        <w:t>Pour le diplôme d’Etat infirmier</w:t>
      </w:r>
      <w:r w:rsidRPr="00BF2080">
        <w:t xml:space="preserve"> </w:t>
      </w:r>
      <w:r>
        <w:t xml:space="preserve">et les formations paramédicales intégrées </w:t>
      </w:r>
      <w:r w:rsidR="00C01B8D">
        <w:t>sur Parcoursup</w:t>
      </w:r>
      <w:r>
        <w:t>, les taux minim</w:t>
      </w:r>
      <w:r w:rsidR="001A219C">
        <w:t>a</w:t>
      </w:r>
      <w:r>
        <w:t xml:space="preserve"> </w:t>
      </w:r>
      <w:r w:rsidRPr="00E43874">
        <w:t>de bacheliers bénéficiaires d’une bourse nationale de lycée</w:t>
      </w:r>
      <w:r>
        <w:t xml:space="preserve"> sont applicables aux formations privées (cf. </w:t>
      </w:r>
      <w:hyperlink r:id="rId9" w:history="1">
        <w:r w:rsidR="008F0B5E">
          <w:rPr>
            <w:rStyle w:val="Lienhypertexte"/>
          </w:rPr>
          <w:t>A</w:t>
        </w:r>
        <w:r w:rsidRPr="008F0B5E">
          <w:rPr>
            <w:rStyle w:val="Lienhypertexte"/>
          </w:rPr>
          <w:t>rrêté</w:t>
        </w:r>
        <w:r w:rsidR="008F0B5E" w:rsidRPr="008F0B5E">
          <w:rPr>
            <w:rStyle w:val="Lienhypertexte"/>
          </w:rPr>
          <w:t xml:space="preserve"> du 20 février 2026 relatif au diplôme d'Etat d'infirmier</w:t>
        </w:r>
      </w:hyperlink>
      <w:r w:rsidR="008F0B5E">
        <w:t xml:space="preserve"> </w:t>
      </w:r>
      <w:r w:rsidRPr="005E00EC">
        <w:rPr>
          <w:bCs/>
        </w:rPr>
        <w:t>;</w:t>
      </w:r>
      <w:r w:rsidRPr="00BF2080">
        <w:t xml:space="preserve"> </w:t>
      </w:r>
      <w:r w:rsidRPr="005E00EC">
        <w:t>Arrêté du 17 janvier 2020 relatif à l'admission dans les instituts préparant aux diplômes d'Etat de pédicure podologue, d'ergothérapeute, de psychomotricien, de manipulateur d'électroradiologie médicale et de technicien de laboratoire médical et portant dispositions diverses</w:t>
      </w:r>
      <w:r>
        <w:t>).</w:t>
      </w:r>
    </w:p>
    <w:p w14:paraId="39F7BFC5" w14:textId="3D8911EB" w:rsidR="006F4FB0" w:rsidRDefault="00E43874" w:rsidP="00BD4CA4">
      <w:pPr>
        <w:spacing w:line="300" w:lineRule="exact"/>
      </w:pPr>
      <w:r>
        <w:t xml:space="preserve">Pour les </w:t>
      </w:r>
      <w:r w:rsidRPr="00E43874">
        <w:t>établissements d'enseignement supérieur privé d'intérêt général</w:t>
      </w:r>
      <w:r w:rsidR="009B6D22">
        <w:t xml:space="preserve"> (EESPIG)</w:t>
      </w:r>
      <w:r>
        <w:t xml:space="preserve">, </w:t>
      </w:r>
      <w:r w:rsidR="0081021F">
        <w:t>les taux minima</w:t>
      </w:r>
      <w:r w:rsidR="00640E01">
        <w:t xml:space="preserve"> </w:t>
      </w:r>
      <w:r w:rsidR="00640E01" w:rsidRPr="00E43874">
        <w:t xml:space="preserve">de bacheliers bénéficiaires d’une bourse nationale de lycée </w:t>
      </w:r>
      <w:r>
        <w:t xml:space="preserve">sont déterminés selon les modalités définies par </w:t>
      </w:r>
      <w:r w:rsidR="00640E01">
        <w:t>convention</w:t>
      </w:r>
      <w:r>
        <w:t xml:space="preserve"> entre les établissements concernés et le ministère chargé de l’enseignement supérieur.</w:t>
      </w:r>
    </w:p>
    <w:p w14:paraId="7704644F" w14:textId="04E411CF" w:rsidR="00932FD3" w:rsidRDefault="00932FD3" w:rsidP="00BD4CA4">
      <w:pPr>
        <w:spacing w:line="300" w:lineRule="exact"/>
        <w:rPr>
          <w:rFonts w:eastAsiaTheme="minorHAnsi"/>
        </w:rPr>
      </w:pPr>
      <w:r>
        <w:t xml:space="preserve">Pour les lycées privés </w:t>
      </w:r>
      <w:r w:rsidRPr="00A64C0C">
        <w:rPr>
          <w:rFonts w:eastAsiaTheme="minorHAnsi"/>
        </w:rPr>
        <w:t xml:space="preserve">sous contrat de l’enseignement catholique et </w:t>
      </w:r>
      <w:r>
        <w:rPr>
          <w:rFonts w:eastAsiaTheme="minorHAnsi"/>
        </w:rPr>
        <w:t>les</w:t>
      </w:r>
      <w:r w:rsidRPr="00A64C0C">
        <w:rPr>
          <w:rFonts w:eastAsiaTheme="minorHAnsi"/>
        </w:rPr>
        <w:t xml:space="preserve"> lycées privés sous contrat</w:t>
      </w:r>
      <w:r w:rsidRPr="00932FD3">
        <w:rPr>
          <w:rFonts w:eastAsiaTheme="minorHAnsi"/>
        </w:rPr>
        <w:t xml:space="preserve"> </w:t>
      </w:r>
      <w:r w:rsidRPr="00A64C0C">
        <w:rPr>
          <w:rFonts w:eastAsiaTheme="minorHAnsi"/>
        </w:rPr>
        <w:t xml:space="preserve">laïcs, </w:t>
      </w:r>
      <w:r w:rsidR="0081021F">
        <w:t>les taux minima</w:t>
      </w:r>
      <w:r>
        <w:t xml:space="preserve"> </w:t>
      </w:r>
      <w:r w:rsidRPr="00E43874">
        <w:t>de bacheliers bénéficiaires d’une bourse nationale de lycée</w:t>
      </w:r>
      <w:r w:rsidR="00C01B8D">
        <w:t xml:space="preserve">, ainsi que </w:t>
      </w:r>
      <w:r w:rsidR="0081021F">
        <w:t>les taux</w:t>
      </w:r>
      <w:r w:rsidR="0081021F" w:rsidRPr="00E43874">
        <w:t xml:space="preserve"> </w:t>
      </w:r>
      <w:r w:rsidR="0081021F">
        <w:t>minima</w:t>
      </w:r>
      <w:r w:rsidR="00C01B8D">
        <w:t xml:space="preserve"> de bacheliers professionnels pour l’accès </w:t>
      </w:r>
      <w:r w:rsidR="00C01B8D" w:rsidRPr="006F4FB0">
        <w:t xml:space="preserve">aux </w:t>
      </w:r>
      <w:r w:rsidR="00C01B8D">
        <w:t xml:space="preserve">STS </w:t>
      </w:r>
      <w:r>
        <w:t>sont déterminés selon les modalités définies par les conventions conclues entre</w:t>
      </w:r>
      <w:r w:rsidRPr="00A64C0C">
        <w:rPr>
          <w:rFonts w:eastAsiaTheme="minorHAnsi"/>
        </w:rPr>
        <w:t xml:space="preserve"> leurs associations représentatives </w:t>
      </w:r>
      <w:r>
        <w:rPr>
          <w:rFonts w:eastAsiaTheme="minorHAnsi"/>
        </w:rPr>
        <w:t>et</w:t>
      </w:r>
      <w:r w:rsidRPr="00A64C0C">
        <w:rPr>
          <w:rFonts w:eastAsiaTheme="minorHAnsi"/>
        </w:rPr>
        <w:t xml:space="preserve"> </w:t>
      </w:r>
      <w:r w:rsidR="00BB322C">
        <w:rPr>
          <w:rFonts w:eastAsiaTheme="minorHAnsi"/>
        </w:rPr>
        <w:t xml:space="preserve">le </w:t>
      </w:r>
      <w:r w:rsidR="006D41E8">
        <w:rPr>
          <w:rFonts w:eastAsiaTheme="minorHAnsi"/>
        </w:rPr>
        <w:t xml:space="preserve">Ministère chargé de l’enseignement supérieur </w:t>
      </w:r>
      <w:r w:rsidRPr="00A64C0C">
        <w:rPr>
          <w:rFonts w:eastAsiaTheme="minorHAnsi"/>
        </w:rPr>
        <w:t>(RENASUP ; Convention EPLC)</w:t>
      </w:r>
      <w:r>
        <w:rPr>
          <w:rFonts w:eastAsiaTheme="minorHAnsi"/>
        </w:rPr>
        <w:t>.</w:t>
      </w:r>
      <w:r w:rsidR="00BD5C6A">
        <w:rPr>
          <w:rFonts w:eastAsiaTheme="minorHAnsi"/>
        </w:rPr>
        <w:t> </w:t>
      </w:r>
      <w:r w:rsidR="00BB322C">
        <w:rPr>
          <w:rFonts w:eastAsiaTheme="minorHAnsi"/>
        </w:rPr>
        <w:t>Il en est de même pour les formations privées de l’enseignement agricole signataires d’une convention avec le MA</w:t>
      </w:r>
      <w:r w:rsidR="001A219C">
        <w:rPr>
          <w:rFonts w:eastAsiaTheme="minorHAnsi"/>
        </w:rPr>
        <w:t>A</w:t>
      </w:r>
      <w:r w:rsidR="00486658">
        <w:rPr>
          <w:rFonts w:eastAsiaTheme="minorHAnsi"/>
        </w:rPr>
        <w:t>S</w:t>
      </w:r>
      <w:r w:rsidR="00BB322C">
        <w:rPr>
          <w:rFonts w:eastAsiaTheme="minorHAnsi"/>
        </w:rPr>
        <w:t>A.</w:t>
      </w:r>
    </w:p>
    <w:p w14:paraId="6AFD7A63" w14:textId="51F1351B" w:rsidR="00F324B3" w:rsidRDefault="00F324B3" w:rsidP="00BD4CA4">
      <w:pPr>
        <w:spacing w:line="300" w:lineRule="exact"/>
        <w:rPr>
          <w:rFonts w:eastAsiaTheme="minorHAnsi"/>
        </w:rPr>
      </w:pPr>
    </w:p>
    <w:p w14:paraId="2D8F327D" w14:textId="77777777" w:rsidR="003701C2" w:rsidRDefault="003701C2" w:rsidP="00BD4CA4">
      <w:pPr>
        <w:spacing w:line="300" w:lineRule="exact"/>
        <w:rPr>
          <w:rFonts w:eastAsiaTheme="minorHAnsi"/>
        </w:rPr>
      </w:pPr>
    </w:p>
    <w:p w14:paraId="5B3057D4" w14:textId="4C767330" w:rsidR="00627B43" w:rsidRDefault="00627B43" w:rsidP="00627B43">
      <w:pPr>
        <w:pStyle w:val="Titre3"/>
      </w:pPr>
      <w:bookmarkStart w:id="5" w:name="_Toc191889108"/>
      <w:r>
        <w:t>Les formations réalisant un classement unique, commun à plusieurs formations</w:t>
      </w:r>
      <w:bookmarkEnd w:id="5"/>
    </w:p>
    <w:p w14:paraId="155C4527" w14:textId="77777777" w:rsidR="00627B43" w:rsidRDefault="00627B43" w:rsidP="00627B43">
      <w:pPr>
        <w:spacing w:line="300" w:lineRule="exact"/>
      </w:pPr>
      <w:r w:rsidRPr="00E43874">
        <w:t xml:space="preserve">Pour les formations qui réalisent un classement unique, commun à plusieurs formations, les recteurs concernés appliquent le même taux </w:t>
      </w:r>
      <w:r>
        <w:t xml:space="preserve">minimum </w:t>
      </w:r>
      <w:r w:rsidRPr="00E43874">
        <w:t>de bacheliers bénéficiaires d’une bourse nationale de lycée à toutes les formations relevant du même classement unique.</w:t>
      </w:r>
    </w:p>
    <w:p w14:paraId="3602A383" w14:textId="50C26AF0" w:rsidR="00A70646" w:rsidRDefault="00A70646" w:rsidP="00A70646">
      <w:pPr>
        <w:pStyle w:val="Titre3"/>
      </w:pPr>
      <w:bookmarkStart w:id="6" w:name="_Toc191889109"/>
      <w:r>
        <w:t>Les formations dispensées en Polynésie française et en Nouvelle-Calédonie</w:t>
      </w:r>
      <w:bookmarkEnd w:id="6"/>
    </w:p>
    <w:p w14:paraId="1E26150F" w14:textId="7D8973D4" w:rsidR="00A70646" w:rsidRDefault="00A70646" w:rsidP="00627B43">
      <w:pPr>
        <w:spacing w:line="300" w:lineRule="exact"/>
      </w:pPr>
      <w:r>
        <w:t xml:space="preserve">Des dispositions spécifiques sont prévues, tenant compte des compétences respectives de </w:t>
      </w:r>
      <w:r w:rsidR="00EC3488">
        <w:t>l’Etat et de ces collectivités.</w:t>
      </w:r>
    </w:p>
    <w:p w14:paraId="26DCB0E7" w14:textId="42ADEFAF" w:rsidR="001C0BBC" w:rsidRPr="00026481" w:rsidRDefault="001C0BBC" w:rsidP="001C0BBC">
      <w:pPr>
        <w:pStyle w:val="Titre2"/>
        <w:spacing w:before="240" w:after="120"/>
        <w:ind w:left="578" w:hanging="578"/>
      </w:pPr>
      <w:bookmarkStart w:id="7" w:name="_Toc191889110"/>
      <w:r>
        <w:t>Exceptions</w:t>
      </w:r>
      <w:bookmarkEnd w:id="7"/>
    </w:p>
    <w:p w14:paraId="01078C53" w14:textId="660506E3" w:rsidR="001C0BBC" w:rsidRDefault="001C0BBC" w:rsidP="00627B43">
      <w:pPr>
        <w:spacing w:line="300" w:lineRule="exact"/>
      </w:pPr>
      <w:r>
        <w:t xml:space="preserve">Les formations dispensées par la voie de l’apprentissage ne sont pas concernées par </w:t>
      </w:r>
      <w:r w:rsidR="0081021F">
        <w:t>les taux minima</w:t>
      </w:r>
      <w:r>
        <w:t xml:space="preserve"> </w:t>
      </w:r>
      <w:r w:rsidRPr="00E43874">
        <w:t>de bacheliers bénéficiaires d’une bourse nationale de lycée</w:t>
      </w:r>
      <w:r>
        <w:t>.</w:t>
      </w:r>
    </w:p>
    <w:p w14:paraId="199F0E8B" w14:textId="17521511" w:rsidR="001C0BBC" w:rsidRDefault="001C0BBC" w:rsidP="00627B43">
      <w:pPr>
        <w:spacing w:line="300" w:lineRule="exact"/>
      </w:pPr>
      <w:r>
        <w:t>Les licences entièrement à distance</w:t>
      </w:r>
      <w:r w:rsidR="006D41E8">
        <w:t xml:space="preserve"> et les mentions dites « dérogatoires » </w:t>
      </w:r>
      <w:r>
        <w:t xml:space="preserve">ne sont pas concernées par </w:t>
      </w:r>
      <w:r w:rsidR="0081021F">
        <w:t>les taux maxima</w:t>
      </w:r>
      <w:r>
        <w:t xml:space="preserve"> de non-résidents.</w:t>
      </w:r>
    </w:p>
    <w:p w14:paraId="037B719F" w14:textId="3C21DF19" w:rsidR="00FE09BF" w:rsidRPr="00E43874" w:rsidRDefault="00FE09BF" w:rsidP="00627B43">
      <w:pPr>
        <w:spacing w:line="300" w:lineRule="exact"/>
      </w:pPr>
      <w:r>
        <w:t>Sauf dispositions particulières applicables à une formation</w:t>
      </w:r>
      <w:r w:rsidR="00A70646">
        <w:t xml:space="preserve"> donnée</w:t>
      </w:r>
      <w:r>
        <w:t>, les formations n’ouvrant pas droit aux bourses de l’enseignement supérieur</w:t>
      </w:r>
      <w:r w:rsidR="00A70646">
        <w:t xml:space="preserve"> ne sont pas concernées par </w:t>
      </w:r>
      <w:r w:rsidR="0081021F">
        <w:t>les taux minima</w:t>
      </w:r>
      <w:r w:rsidR="00A70646">
        <w:t xml:space="preserve"> </w:t>
      </w:r>
      <w:r w:rsidR="00A70646" w:rsidRPr="00E43874">
        <w:t>de bacheliers bénéficiaires d’une bourse nationale de lycée</w:t>
      </w:r>
      <w:r>
        <w:t>.</w:t>
      </w:r>
    </w:p>
    <w:p w14:paraId="78124B5C" w14:textId="407535C1" w:rsidR="003505E7" w:rsidRDefault="004B13B6" w:rsidP="006A06D0">
      <w:pPr>
        <w:pStyle w:val="Titre1"/>
        <w:spacing w:after="160" w:line="300" w:lineRule="exact"/>
        <w:ind w:left="431" w:hanging="431"/>
        <w:rPr>
          <w:rStyle w:val="Titre1Car"/>
        </w:rPr>
      </w:pPr>
      <w:bookmarkStart w:id="8" w:name="_Toc191889111"/>
      <w:r>
        <w:rPr>
          <w:rStyle w:val="Titre1Car"/>
        </w:rPr>
        <w:t xml:space="preserve">Calendrier </w:t>
      </w:r>
      <w:r w:rsidR="00205D5C">
        <w:rPr>
          <w:rStyle w:val="Titre1Car"/>
        </w:rPr>
        <w:t xml:space="preserve">de fixation des </w:t>
      </w:r>
      <w:r w:rsidR="009B03A4">
        <w:rPr>
          <w:rStyle w:val="Titre1Car"/>
        </w:rPr>
        <w:t xml:space="preserve">taux </w:t>
      </w:r>
      <w:r>
        <w:rPr>
          <w:rStyle w:val="Titre1Car"/>
        </w:rPr>
        <w:t>et p</w:t>
      </w:r>
      <w:r w:rsidR="002D4AE7">
        <w:rPr>
          <w:rStyle w:val="Titre1Car"/>
        </w:rPr>
        <w:t xml:space="preserve">ublicité </w:t>
      </w:r>
      <w:r w:rsidR="009B03A4">
        <w:rPr>
          <w:rStyle w:val="Titre1Car"/>
        </w:rPr>
        <w:t>des taux</w:t>
      </w:r>
      <w:bookmarkEnd w:id="8"/>
      <w:r w:rsidR="009B03A4">
        <w:rPr>
          <w:rStyle w:val="Titre1Car"/>
        </w:rPr>
        <w:t xml:space="preserve"> </w:t>
      </w:r>
    </w:p>
    <w:p w14:paraId="6750756A" w14:textId="1A5C2516" w:rsidR="004B13B6" w:rsidRPr="00026481" w:rsidRDefault="005E6C55" w:rsidP="002713C3">
      <w:pPr>
        <w:spacing w:line="300" w:lineRule="exact"/>
      </w:pPr>
      <w:r w:rsidRPr="00026481">
        <w:t xml:space="preserve">Au terme des concertations engagées, les </w:t>
      </w:r>
      <w:r>
        <w:t>taux</w:t>
      </w:r>
      <w:r w:rsidRPr="00026481">
        <w:t xml:space="preserve"> sont fixés par les autorités académiques </w:t>
      </w:r>
      <w:r w:rsidR="002713C3">
        <w:t>et</w:t>
      </w:r>
      <w:r w:rsidR="004B13B6" w:rsidRPr="00026481">
        <w:t xml:space="preserve"> </w:t>
      </w:r>
      <w:r w:rsidR="00E43874" w:rsidRPr="00026481">
        <w:t xml:space="preserve">portés à </w:t>
      </w:r>
      <w:r w:rsidR="004B13B6" w:rsidRPr="00026481">
        <w:t>la connaissance des formations sur le site de gestion</w:t>
      </w:r>
      <w:r w:rsidR="002713C3">
        <w:t xml:space="preserve"> dès le </w:t>
      </w:r>
      <w:r w:rsidR="00A41756">
        <w:t>5</w:t>
      </w:r>
      <w:r w:rsidR="002713C3">
        <w:t xml:space="preserve"> mai 202</w:t>
      </w:r>
      <w:r w:rsidR="00B37D22">
        <w:t>6</w:t>
      </w:r>
      <w:r w:rsidR="004B13B6" w:rsidRPr="00026481">
        <w:t xml:space="preserve">. Ils donnent également lieu à publication </w:t>
      </w:r>
      <w:r w:rsidR="00026481" w:rsidRPr="00026481">
        <w:t xml:space="preserve">au </w:t>
      </w:r>
      <w:r w:rsidR="009B03A4">
        <w:t>recueil</w:t>
      </w:r>
      <w:r w:rsidR="00026481" w:rsidRPr="00026481">
        <w:t xml:space="preserve"> des actes administratifs de la </w:t>
      </w:r>
      <w:r w:rsidR="00175393">
        <w:t>préfecture</w:t>
      </w:r>
      <w:r w:rsidR="00026481" w:rsidRPr="00026481">
        <w:t xml:space="preserve"> de région concernée et sur </w:t>
      </w:r>
      <w:r w:rsidR="00026481">
        <w:t xml:space="preserve">la plateforme Parcoursup </w:t>
      </w:r>
      <w:r w:rsidR="006D41E8">
        <w:t>pour</w:t>
      </w:r>
      <w:r w:rsidR="00026481">
        <w:t xml:space="preserve"> chaque formation concernée</w:t>
      </w:r>
      <w:r w:rsidR="002713C3">
        <w:t>, en amont de l’ouverture de la phase d’admission</w:t>
      </w:r>
      <w:r w:rsidR="00026481">
        <w:t>.</w:t>
      </w:r>
      <w:r w:rsidR="00CE24F7">
        <w:t xml:space="preserve"> </w:t>
      </w:r>
    </w:p>
    <w:p w14:paraId="0B8028A8" w14:textId="4FCB73BD" w:rsidR="004B13B6" w:rsidRPr="00026481" w:rsidRDefault="00026481" w:rsidP="00026481">
      <w:pPr>
        <w:spacing w:line="300" w:lineRule="exact"/>
      </w:pPr>
      <w:r>
        <w:t>Pour faciliter l’appropriation des objectifs de mobilité sociale et géographique</w:t>
      </w:r>
      <w:r w:rsidR="009B03A4">
        <w:t xml:space="preserve"> de la procédure Parcoursup</w:t>
      </w:r>
      <w:r>
        <w:t xml:space="preserve">, chaque site académique comporte une page explicitant la démarche et </w:t>
      </w:r>
      <w:r w:rsidR="009B03A4">
        <w:t>renvoyant</w:t>
      </w:r>
      <w:r>
        <w:t xml:space="preserve"> aux taux fixés par le recteur </w:t>
      </w:r>
      <w:r w:rsidR="005E1E31">
        <w:t xml:space="preserve">de région </w:t>
      </w:r>
      <w:r>
        <w:t>pour les formations de son ressort.</w:t>
      </w:r>
    </w:p>
    <w:p w14:paraId="655A9C96" w14:textId="63537331" w:rsidR="0082496D" w:rsidRDefault="00205D5C" w:rsidP="006A06D0">
      <w:pPr>
        <w:pStyle w:val="Titre1"/>
        <w:spacing w:after="160" w:line="300" w:lineRule="exact"/>
        <w:ind w:left="431" w:hanging="431"/>
        <w:rPr>
          <w:rStyle w:val="Titre1Car"/>
        </w:rPr>
      </w:pPr>
      <w:bookmarkStart w:id="9" w:name="_Toc191889112"/>
      <w:r>
        <w:rPr>
          <w:rStyle w:val="Titre1Car"/>
        </w:rPr>
        <w:t>A</w:t>
      </w:r>
      <w:r w:rsidR="002D4AE7">
        <w:rPr>
          <w:rStyle w:val="Titre1Car"/>
        </w:rPr>
        <w:t xml:space="preserve">pplication des </w:t>
      </w:r>
      <w:r>
        <w:rPr>
          <w:rStyle w:val="Titre1Car"/>
        </w:rPr>
        <w:t xml:space="preserve">pourcentages </w:t>
      </w:r>
      <w:r w:rsidR="00175393">
        <w:rPr>
          <w:rStyle w:val="Titre1Car"/>
        </w:rPr>
        <w:t>dans la phase d’examen des vœux</w:t>
      </w:r>
      <w:bookmarkEnd w:id="9"/>
      <w:r w:rsidR="00175393">
        <w:rPr>
          <w:rStyle w:val="Titre1Car"/>
        </w:rPr>
        <w:t xml:space="preserve"> </w:t>
      </w:r>
    </w:p>
    <w:p w14:paraId="603600A1" w14:textId="21FB302A" w:rsidR="0082496D" w:rsidRPr="00BD4CA4" w:rsidRDefault="00205D5C" w:rsidP="00205D5C">
      <w:pPr>
        <w:pStyle w:val="Titre2"/>
        <w:spacing w:before="240" w:after="120"/>
        <w:ind w:left="578" w:hanging="578"/>
      </w:pPr>
      <w:bookmarkStart w:id="10" w:name="_Toc191889113"/>
      <w:r>
        <w:t>Les principes applicables selon les types de formations</w:t>
      </w:r>
      <w:bookmarkEnd w:id="10"/>
      <w:r>
        <w:t xml:space="preserve"> </w:t>
      </w:r>
    </w:p>
    <w:p w14:paraId="6C7C0E33" w14:textId="27553C08" w:rsidR="00D25917" w:rsidRDefault="00205D5C" w:rsidP="00205D5C">
      <w:pPr>
        <w:spacing w:line="300" w:lineRule="exact"/>
      </w:pPr>
      <w:r w:rsidRPr="00205D5C">
        <w:rPr>
          <w:b/>
        </w:rPr>
        <w:t>Les formations sélectives</w:t>
      </w:r>
      <w:r w:rsidRPr="00205D5C">
        <w:t xml:space="preserve"> </w:t>
      </w:r>
      <w:r>
        <w:t xml:space="preserve">prennent </w:t>
      </w:r>
      <w:r w:rsidR="002713C3">
        <w:t xml:space="preserve">connaissance du taux </w:t>
      </w:r>
      <w:r w:rsidR="002713C3" w:rsidRPr="00205D5C">
        <w:t>minimal de bacheliers retenus bénéficiaires d'une bourse nationale de lycée</w:t>
      </w:r>
      <w:r w:rsidR="002713C3">
        <w:t xml:space="preserve"> qui leur est </w:t>
      </w:r>
      <w:r w:rsidR="00B37D22">
        <w:t>proposé à</w:t>
      </w:r>
      <w:r w:rsidR="00B37D22" w:rsidRPr="008E1561">
        <w:rPr>
          <w:rFonts w:asciiTheme="majorHAnsi" w:eastAsiaTheme="minorHAnsi" w:hAnsiTheme="majorHAnsi" w:cstheme="majorHAnsi"/>
          <w:sz w:val="22"/>
          <w:szCs w:val="22"/>
        </w:rPr>
        <w:t xml:space="preserve"> partir du </w:t>
      </w:r>
      <w:r w:rsidR="00B37D22">
        <w:rPr>
          <w:rFonts w:asciiTheme="majorHAnsi" w:eastAsiaTheme="minorHAnsi" w:hAnsiTheme="majorHAnsi" w:cstheme="majorHAnsi"/>
          <w:b/>
          <w:sz w:val="22"/>
          <w:szCs w:val="22"/>
        </w:rPr>
        <w:t>24</w:t>
      </w:r>
      <w:r w:rsidR="00B37D22" w:rsidRPr="008E1561">
        <w:rPr>
          <w:rFonts w:asciiTheme="majorHAnsi" w:eastAsiaTheme="minorHAnsi" w:hAnsiTheme="majorHAnsi" w:cstheme="majorHAnsi"/>
          <w:b/>
          <w:sz w:val="22"/>
          <w:szCs w:val="22"/>
        </w:rPr>
        <w:t xml:space="preserve"> avril 202</w:t>
      </w:r>
      <w:r w:rsidR="00B37D22">
        <w:rPr>
          <w:rFonts w:asciiTheme="majorHAnsi" w:eastAsiaTheme="minorHAnsi" w:hAnsiTheme="majorHAnsi" w:cstheme="majorHAnsi"/>
          <w:b/>
          <w:sz w:val="22"/>
          <w:szCs w:val="22"/>
        </w:rPr>
        <w:t>6</w:t>
      </w:r>
      <w:r w:rsidR="00B37D22" w:rsidRPr="008E1561">
        <w:rPr>
          <w:rFonts w:asciiTheme="majorHAnsi" w:eastAsiaTheme="minorHAnsi" w:hAnsiTheme="majorHAnsi" w:cstheme="majorHAnsi"/>
          <w:sz w:val="22"/>
          <w:szCs w:val="22"/>
        </w:rPr>
        <w:t xml:space="preserve">. Les établissements pourront modifier à la hausse le taux proposé s’ils souhaitent appliquer une politique plus volontariste (dans une limite de +10 pts du taux proposé) et ce jusqu’au </w:t>
      </w:r>
      <w:r w:rsidR="00A41756">
        <w:rPr>
          <w:rFonts w:asciiTheme="majorHAnsi" w:eastAsiaTheme="minorHAnsi" w:hAnsiTheme="majorHAnsi" w:cstheme="majorHAnsi"/>
          <w:b/>
          <w:bCs/>
          <w:sz w:val="22"/>
          <w:szCs w:val="22"/>
        </w:rPr>
        <w:t>4</w:t>
      </w:r>
      <w:r w:rsidR="00B37D22" w:rsidRPr="008E1561">
        <w:rPr>
          <w:rFonts w:asciiTheme="majorHAnsi" w:eastAsiaTheme="minorHAnsi" w:hAnsiTheme="majorHAnsi" w:cstheme="majorHAnsi"/>
          <w:b/>
          <w:bCs/>
          <w:sz w:val="22"/>
          <w:szCs w:val="22"/>
        </w:rPr>
        <w:t xml:space="preserve"> mai 202</w:t>
      </w:r>
      <w:r w:rsidR="00B37D22">
        <w:rPr>
          <w:rFonts w:asciiTheme="majorHAnsi" w:eastAsiaTheme="minorHAnsi" w:hAnsiTheme="majorHAnsi" w:cstheme="majorHAnsi"/>
          <w:b/>
          <w:bCs/>
          <w:sz w:val="22"/>
          <w:szCs w:val="22"/>
        </w:rPr>
        <w:t>6</w:t>
      </w:r>
      <w:r w:rsidR="00B37D22" w:rsidRPr="00B37D22">
        <w:rPr>
          <w:rFonts w:asciiTheme="majorHAnsi" w:eastAsiaTheme="minorHAnsi" w:hAnsiTheme="majorHAnsi" w:cstheme="majorHAnsi"/>
          <w:sz w:val="22"/>
          <w:szCs w:val="22"/>
        </w:rPr>
        <w:t xml:space="preserve">. Les taux applicables pour la session sont affichés </w:t>
      </w:r>
      <w:r w:rsidR="00B37D22" w:rsidRPr="00B37D22">
        <w:t>en</w:t>
      </w:r>
      <w:r w:rsidR="002713C3" w:rsidRPr="00B37D22">
        <w:t xml:space="preserve"> amont de la remontée</w:t>
      </w:r>
      <w:r w:rsidRPr="00B37D22">
        <w:t xml:space="preserve"> de leur classement à la plateforme Parcoursup</w:t>
      </w:r>
      <w:r w:rsidR="00B37D22">
        <w:t>.</w:t>
      </w:r>
    </w:p>
    <w:p w14:paraId="41292696" w14:textId="02F7837D" w:rsidR="00205D5C" w:rsidRDefault="000D5B3E" w:rsidP="00205D5C">
      <w:pPr>
        <w:spacing w:line="300" w:lineRule="exact"/>
      </w:pPr>
      <w:bookmarkStart w:id="11" w:name="_Hlk223098674"/>
      <w:r w:rsidRPr="000612EA">
        <w:t>S’il est établi sur la base des candidatures confirmées, le taux minimum s’applique aux seules candidatures classées (cf. 4.2).</w:t>
      </w:r>
    </w:p>
    <w:bookmarkEnd w:id="11"/>
    <w:p w14:paraId="676E4489" w14:textId="44975DAF" w:rsidR="00205D5C" w:rsidRPr="00205D5C" w:rsidRDefault="00205D5C" w:rsidP="00205D5C">
      <w:pPr>
        <w:spacing w:line="300" w:lineRule="exact"/>
      </w:pPr>
      <w:r w:rsidRPr="00205D5C">
        <w:lastRenderedPageBreak/>
        <w:t xml:space="preserve">Les formations sélectives devront transmettre au plus tard le </w:t>
      </w:r>
      <w:r w:rsidR="00B37D22">
        <w:rPr>
          <w:b/>
        </w:rPr>
        <w:t>20</w:t>
      </w:r>
      <w:r w:rsidR="00136D33" w:rsidRPr="00175393">
        <w:rPr>
          <w:b/>
        </w:rPr>
        <w:t xml:space="preserve"> </w:t>
      </w:r>
      <w:r w:rsidRPr="00175393">
        <w:rPr>
          <w:b/>
        </w:rPr>
        <w:t>mai</w:t>
      </w:r>
      <w:r w:rsidRPr="00205D5C">
        <w:t xml:space="preserve"> </w:t>
      </w:r>
      <w:r w:rsidR="00136D33">
        <w:rPr>
          <w:b/>
        </w:rPr>
        <w:t>202</w:t>
      </w:r>
      <w:r w:rsidR="00B37D22">
        <w:rPr>
          <w:b/>
        </w:rPr>
        <w:t>6</w:t>
      </w:r>
      <w:r w:rsidR="00136D33">
        <w:t xml:space="preserve"> </w:t>
      </w:r>
      <w:r w:rsidR="00EC3488" w:rsidRPr="00EC3488">
        <w:rPr>
          <w:b/>
        </w:rPr>
        <w:t>inclus</w:t>
      </w:r>
      <w:r w:rsidR="00EC3488">
        <w:t xml:space="preserve"> </w:t>
      </w:r>
      <w:r w:rsidR="00175393" w:rsidRPr="00205D5C">
        <w:t xml:space="preserve">à la plateforme Parcoursup </w:t>
      </w:r>
      <w:r w:rsidR="002713C3">
        <w:t>leur classement</w:t>
      </w:r>
      <w:r w:rsidRPr="00205D5C">
        <w:t>.</w:t>
      </w:r>
    </w:p>
    <w:p w14:paraId="722C689B" w14:textId="0FE8E590" w:rsidR="00175393" w:rsidRPr="00175393" w:rsidRDefault="00175393" w:rsidP="00175393">
      <w:pPr>
        <w:spacing w:line="300" w:lineRule="exact"/>
        <w:rPr>
          <w:b/>
        </w:rPr>
      </w:pPr>
      <w:r w:rsidRPr="00175393">
        <w:rPr>
          <w:b/>
        </w:rPr>
        <w:t xml:space="preserve">Pour les formations non sélectives pour lesquelles </w:t>
      </w:r>
      <w:r>
        <w:rPr>
          <w:b/>
        </w:rPr>
        <w:t>les</w:t>
      </w:r>
      <w:r w:rsidRPr="00175393">
        <w:rPr>
          <w:b/>
        </w:rPr>
        <w:t xml:space="preserve"> candidatures </w:t>
      </w:r>
      <w:r>
        <w:rPr>
          <w:b/>
        </w:rPr>
        <w:t>sont ordonnées</w:t>
      </w:r>
      <w:r w:rsidRPr="00175393">
        <w:t xml:space="preserve">, deux </w:t>
      </w:r>
      <w:r w:rsidR="0081021F">
        <w:t xml:space="preserve">taux </w:t>
      </w:r>
      <w:r w:rsidR="0081021F" w:rsidRPr="00175393">
        <w:t>s’appliquent</w:t>
      </w:r>
      <w:r w:rsidRPr="00175393">
        <w:t> :</w:t>
      </w:r>
    </w:p>
    <w:p w14:paraId="2CB5FF24" w14:textId="74BB9110" w:rsidR="00175393" w:rsidRPr="00175393" w:rsidRDefault="0081021F" w:rsidP="00175393">
      <w:pPr>
        <w:pStyle w:val="Paragraphedeliste"/>
        <w:numPr>
          <w:ilvl w:val="0"/>
          <w:numId w:val="15"/>
        </w:numPr>
        <w:spacing w:after="120" w:line="240" w:lineRule="auto"/>
        <w:ind w:hanging="357"/>
        <w:contextualSpacing w:val="0"/>
      </w:pPr>
      <w:r w:rsidRPr="00175393">
        <w:t>Le</w:t>
      </w:r>
      <w:r w:rsidR="00175393" w:rsidRPr="00175393">
        <w:t xml:space="preserve"> </w:t>
      </w:r>
      <w:r w:rsidR="009B03A4">
        <w:t>taux</w:t>
      </w:r>
      <w:r w:rsidR="00175393" w:rsidRPr="00175393">
        <w:t xml:space="preserve"> minimal de bacheliers bénéficiaires d'une bourse nationale de lycée, </w:t>
      </w:r>
    </w:p>
    <w:p w14:paraId="5D09D314" w14:textId="5AB90527" w:rsidR="00175393" w:rsidRPr="00175393" w:rsidRDefault="0081021F" w:rsidP="00175393">
      <w:pPr>
        <w:pStyle w:val="Paragraphedeliste"/>
        <w:numPr>
          <w:ilvl w:val="0"/>
          <w:numId w:val="15"/>
        </w:numPr>
        <w:spacing w:after="120" w:line="240" w:lineRule="auto"/>
        <w:ind w:hanging="357"/>
        <w:contextualSpacing w:val="0"/>
      </w:pPr>
      <w:r w:rsidRPr="00175393">
        <w:t>Le</w:t>
      </w:r>
      <w:r w:rsidR="00175393" w:rsidRPr="00175393">
        <w:t xml:space="preserve"> </w:t>
      </w:r>
      <w:r w:rsidR="009B03A4">
        <w:t>taux</w:t>
      </w:r>
      <w:r w:rsidR="00175393" w:rsidRPr="00175393">
        <w:t xml:space="preserve"> maximal de bacheliers résidant dans un secteur (le plus souvent l’académie) autre que celui dans lequel est situé l'établissement.</w:t>
      </w:r>
    </w:p>
    <w:p w14:paraId="227E9621" w14:textId="435A58E0" w:rsidR="000D5B3E" w:rsidRDefault="00640E01" w:rsidP="00640E01">
      <w:pPr>
        <w:spacing w:line="300" w:lineRule="exact"/>
      </w:pPr>
      <w:r w:rsidRPr="00205D5C">
        <w:t xml:space="preserve">Les formations </w:t>
      </w:r>
      <w:r>
        <w:t xml:space="preserve">non </w:t>
      </w:r>
      <w:r w:rsidRPr="00205D5C">
        <w:t xml:space="preserve">sélectives devront transmettre au plus tard le </w:t>
      </w:r>
      <w:r w:rsidR="00090CA5">
        <w:rPr>
          <w:b/>
        </w:rPr>
        <w:t>20</w:t>
      </w:r>
      <w:r w:rsidR="00136D33" w:rsidRPr="00640E01">
        <w:rPr>
          <w:b/>
        </w:rPr>
        <w:t xml:space="preserve"> </w:t>
      </w:r>
      <w:r w:rsidRPr="00640E01">
        <w:rPr>
          <w:b/>
        </w:rPr>
        <w:t xml:space="preserve">mai </w:t>
      </w:r>
      <w:r w:rsidR="00136D33">
        <w:rPr>
          <w:b/>
        </w:rPr>
        <w:t>202</w:t>
      </w:r>
      <w:r w:rsidR="00090CA5">
        <w:rPr>
          <w:b/>
        </w:rPr>
        <w:t>6</w:t>
      </w:r>
      <w:r w:rsidR="00136D33">
        <w:t xml:space="preserve"> </w:t>
      </w:r>
      <w:r w:rsidR="00EC3488" w:rsidRPr="00EC3488">
        <w:rPr>
          <w:b/>
        </w:rPr>
        <w:t>inclus</w:t>
      </w:r>
      <w:r w:rsidR="00EC3488">
        <w:t xml:space="preserve"> </w:t>
      </w:r>
      <w:r w:rsidRPr="00205D5C">
        <w:t xml:space="preserve">à la plateforme Parcoursup </w:t>
      </w:r>
      <w:r>
        <w:t>le résultat de l’examen des vœux.</w:t>
      </w:r>
      <w:r w:rsidRPr="00205D5C">
        <w:t xml:space="preserve"> </w:t>
      </w:r>
    </w:p>
    <w:p w14:paraId="0940870A" w14:textId="4DFF859B" w:rsidR="00175393" w:rsidRDefault="00175393" w:rsidP="00640E01">
      <w:pPr>
        <w:spacing w:line="300" w:lineRule="exact"/>
      </w:pPr>
      <w:r w:rsidRPr="00640E01">
        <w:t>Le respect de</w:t>
      </w:r>
      <w:r w:rsidR="009B03A4">
        <w:t xml:space="preserve"> ces deux</w:t>
      </w:r>
      <w:r w:rsidRPr="00640E01">
        <w:t xml:space="preserve"> taux sera garanti par la procédure Parcoursup, sur la base du classement de la formation.</w:t>
      </w:r>
      <w:r w:rsidR="0081021F">
        <w:t xml:space="preserve"> Un ordre d’appel calculé par la plateforme est la </w:t>
      </w:r>
      <w:r w:rsidR="00CF1A0F">
        <w:t>résultante</w:t>
      </w:r>
      <w:r w:rsidR="0081021F">
        <w:t xml:space="preserve"> </w:t>
      </w:r>
      <w:r w:rsidR="00CF1A0F">
        <w:t>de la mise en œuvre de ce taux.</w:t>
      </w:r>
    </w:p>
    <w:p w14:paraId="5EB5763B" w14:textId="77777777" w:rsidR="005E1E31" w:rsidRDefault="005E1E31" w:rsidP="00640E01">
      <w:pPr>
        <w:spacing w:line="300" w:lineRule="exact"/>
      </w:pPr>
    </w:p>
    <w:p w14:paraId="67B6EDD7" w14:textId="77777777" w:rsidR="004B13B6" w:rsidRPr="00DE0420" w:rsidRDefault="004B13B6" w:rsidP="00DE0420">
      <w:pPr>
        <w:pStyle w:val="Titre2"/>
        <w:spacing w:before="240" w:after="120"/>
        <w:ind w:left="578" w:hanging="578"/>
      </w:pPr>
      <w:bookmarkStart w:id="12" w:name="_Toc191889114"/>
      <w:r w:rsidRPr="00DE0420">
        <w:t>Déclinaison concrète</w:t>
      </w:r>
      <w:bookmarkEnd w:id="12"/>
      <w:r w:rsidRPr="00DE0420">
        <w:t xml:space="preserve"> </w:t>
      </w:r>
    </w:p>
    <w:p w14:paraId="16DC960A" w14:textId="1E11D1D3" w:rsidR="00DE0420" w:rsidRDefault="004B13B6" w:rsidP="00DE0420">
      <w:pPr>
        <w:spacing w:line="300" w:lineRule="exact"/>
      </w:pPr>
      <w:bookmarkStart w:id="13" w:name="_Hlk223098747"/>
      <w:r w:rsidRPr="00DE0420">
        <w:t xml:space="preserve">Quelle que soit la formation, </w:t>
      </w:r>
      <w:r w:rsidR="00367175">
        <w:t xml:space="preserve">sélective ou non sélective, </w:t>
      </w:r>
      <w:r w:rsidRPr="00DE0420">
        <w:t xml:space="preserve">une fois connu le classement des candidats par la commission d’examen des vœux, la plateforme Parcoursup détermine un </w:t>
      </w:r>
      <w:r w:rsidRPr="0059023D">
        <w:rPr>
          <w:b/>
        </w:rPr>
        <w:t>ordre d'appel des candidats</w:t>
      </w:r>
      <w:r w:rsidRPr="00DE0420">
        <w:t xml:space="preserve"> qui respecte le(s) </w:t>
      </w:r>
      <w:r w:rsidR="009B03A4">
        <w:t>tau</w:t>
      </w:r>
      <w:r w:rsidR="00DE0420">
        <w:t>(</w:t>
      </w:r>
      <w:r w:rsidR="009B03A4">
        <w:t>x</w:t>
      </w:r>
      <w:r w:rsidR="00DE0420">
        <w:t xml:space="preserve">) arrêtés par </w:t>
      </w:r>
      <w:r w:rsidR="001E0918">
        <w:t>l’autorité académique</w:t>
      </w:r>
      <w:r w:rsidR="00DE0420">
        <w:t>.</w:t>
      </w:r>
      <w:r w:rsidR="00365A2B">
        <w:t xml:space="preserve"> Cet ordre d’appel n’est calculé qu’une seule fois, pour chaque </w:t>
      </w:r>
      <w:r w:rsidR="005E6C55">
        <w:t>formation</w:t>
      </w:r>
      <w:r w:rsidR="00365A2B">
        <w:t>, après remontée du résultat de l’examen des vœux. Il est constant tout au long de la phase d’admission.</w:t>
      </w:r>
    </w:p>
    <w:p w14:paraId="7D6F6C63" w14:textId="2F6FFF34" w:rsidR="004B13B6" w:rsidRDefault="004B13B6" w:rsidP="00DE0420">
      <w:pPr>
        <w:spacing w:line="300" w:lineRule="exact"/>
      </w:pPr>
      <w:r w:rsidRPr="00DE0420">
        <w:t xml:space="preserve">L’ordre d’appel garantit que, quel que soit le rang du dernier appelé, les </w:t>
      </w:r>
      <w:r w:rsidR="009D19AE">
        <w:t>taux</w:t>
      </w:r>
      <w:r w:rsidR="009D19AE" w:rsidRPr="00DE0420">
        <w:t xml:space="preserve"> </w:t>
      </w:r>
      <w:r w:rsidRPr="00DE0420">
        <w:t>de bacheliers bénéficiaires d'une bourse nationale de lycée et de bacheliers résid</w:t>
      </w:r>
      <w:r w:rsidR="009D19AE">
        <w:t>e</w:t>
      </w:r>
      <w:r w:rsidRPr="00DE0420">
        <w:t>nt</w:t>
      </w:r>
      <w:r w:rsidR="009D19AE">
        <w:t>s</w:t>
      </w:r>
      <w:r w:rsidRPr="00DE0420">
        <w:t xml:space="preserve"> parmi les candidats ayant un meilleur rang dans l’ordre d’appel respectent les </w:t>
      </w:r>
      <w:r w:rsidR="009D19AE">
        <w:t>taux</w:t>
      </w:r>
      <w:r w:rsidR="009D19AE" w:rsidRPr="00DE0420">
        <w:t xml:space="preserve"> </w:t>
      </w:r>
      <w:r w:rsidRPr="00DE0420">
        <w:t xml:space="preserve">fixés par </w:t>
      </w:r>
      <w:r w:rsidR="001E0918">
        <w:t>l’autorité académique</w:t>
      </w:r>
      <w:r w:rsidRPr="00DE0420">
        <w:t xml:space="preserve">, ou s’en approchent le plus possible dans les cas où le nombre de boursiers ou de résidents classés est trop faible pour satisfaire </w:t>
      </w:r>
      <w:r w:rsidR="009B6D22">
        <w:t xml:space="preserve">l’un et/ou l’autre des </w:t>
      </w:r>
      <w:r w:rsidR="009B03A4">
        <w:t>taux</w:t>
      </w:r>
      <w:r w:rsidRPr="00DE0420">
        <w:t>.</w:t>
      </w:r>
    </w:p>
    <w:p w14:paraId="569B0439" w14:textId="2E38E4E1" w:rsidR="006A2B12" w:rsidRDefault="00DB7254" w:rsidP="00DE0420">
      <w:pPr>
        <w:spacing w:line="300" w:lineRule="exact"/>
      </w:pPr>
      <w:r>
        <w:t>Pour faciliter l’appropriation de la mécanique de l’ordre d’appel, ch</w:t>
      </w:r>
      <w:r w:rsidR="009D19AE">
        <w:t>a</w:t>
      </w:r>
      <w:r>
        <w:t xml:space="preserve">que formation </w:t>
      </w:r>
      <w:r w:rsidR="009D19AE">
        <w:t xml:space="preserve">peut </w:t>
      </w:r>
      <w:r>
        <w:t>visualiser l’ordre d’appel calculé pa</w:t>
      </w:r>
      <w:r w:rsidR="009B03A4">
        <w:t>r</w:t>
      </w:r>
      <w:r>
        <w:t xml:space="preserve"> la plateforme Parcoursup</w:t>
      </w:r>
      <w:r w:rsidR="009D19AE">
        <w:t xml:space="preserve"> (Rubrique « Suivi des admissions » puis édition de la liste des candidats classés d’une formation)</w:t>
      </w:r>
      <w:r w:rsidR="001E0918">
        <w:t>.</w:t>
      </w:r>
    </w:p>
    <w:p w14:paraId="107E1809" w14:textId="06756B17" w:rsidR="006D12DD" w:rsidRDefault="007A5B67" w:rsidP="00DE0420">
      <w:pPr>
        <w:spacing w:line="300" w:lineRule="exact"/>
      </w:pPr>
      <w:r>
        <w:t>Le calcul de l’ordre d’appel,</w:t>
      </w:r>
      <w:r w:rsidR="00DB7254">
        <w:t xml:space="preserve"> selon les principes fixés par la loi</w:t>
      </w:r>
      <w:r>
        <w:t>,</w:t>
      </w:r>
      <w:r w:rsidR="00DB7254">
        <w:t xml:space="preserve"> e</w:t>
      </w:r>
      <w:r>
        <w:t>s</w:t>
      </w:r>
      <w:r w:rsidR="00DB7254">
        <w:t xml:space="preserve">t illustré </w:t>
      </w:r>
      <w:r w:rsidR="000612EA">
        <w:t>sur le</w:t>
      </w:r>
      <w:r w:rsidR="00906AD4">
        <w:t xml:space="preserve"> site de gestion par une vidéo. </w:t>
      </w:r>
      <w:r w:rsidR="000612EA">
        <w:t>D</w:t>
      </w:r>
      <w:r w:rsidR="00DB7254">
        <w:t xml:space="preserve">es documents d’information </w:t>
      </w:r>
      <w:r w:rsidR="000612EA">
        <w:t>générale sont également</w:t>
      </w:r>
      <w:r w:rsidR="00DB7254">
        <w:t xml:space="preserve"> consultables </w:t>
      </w:r>
      <w:hyperlink r:id="rId10" w:history="1">
        <w:r w:rsidR="00136D33">
          <w:rPr>
            <w:rStyle w:val="Lienhypertexte"/>
          </w:rPr>
          <w:t>sur la rubrique Parcoursup de l’offre de service du MESR</w:t>
        </w:r>
      </w:hyperlink>
      <w:bookmarkEnd w:id="13"/>
      <w:r w:rsidR="001E0918">
        <w:t>.</w:t>
      </w:r>
    </w:p>
    <w:p w14:paraId="09DE23B0" w14:textId="50C6A78E" w:rsidR="004B13B6" w:rsidRPr="00DB7254" w:rsidRDefault="006A2B12" w:rsidP="00DB7254">
      <w:pPr>
        <w:pStyle w:val="Titre1"/>
        <w:spacing w:after="160" w:line="300" w:lineRule="exact"/>
        <w:ind w:left="431" w:hanging="431"/>
        <w:rPr>
          <w:rStyle w:val="Titre1Car"/>
        </w:rPr>
      </w:pPr>
      <w:bookmarkStart w:id="14" w:name="_Toc191889115"/>
      <w:r>
        <w:rPr>
          <w:rStyle w:val="Titre1Car"/>
        </w:rPr>
        <w:t>Propriétés</w:t>
      </w:r>
      <w:r w:rsidR="0052150B">
        <w:rPr>
          <w:rStyle w:val="Titre1Car"/>
        </w:rPr>
        <w:t xml:space="preserve"> de l’ordre d’appel</w:t>
      </w:r>
      <w:bookmarkEnd w:id="14"/>
    </w:p>
    <w:p w14:paraId="2446B4D1" w14:textId="77777777" w:rsidR="004B13B6" w:rsidRPr="00DE0420" w:rsidRDefault="004B13B6" w:rsidP="00311F57">
      <w:pPr>
        <w:spacing w:before="120" w:after="120" w:line="264" w:lineRule="auto"/>
      </w:pPr>
      <w:r w:rsidRPr="00DE0420">
        <w:t>La procédure Parcoursup garantit les propriétés suivantes :</w:t>
      </w:r>
    </w:p>
    <w:p w14:paraId="479373E4" w14:textId="3AA06737" w:rsidR="004B13B6" w:rsidRPr="00311F57" w:rsidRDefault="00261400" w:rsidP="00311F57">
      <w:pPr>
        <w:pStyle w:val="Paragraphedeliste"/>
        <w:numPr>
          <w:ilvl w:val="0"/>
          <w:numId w:val="4"/>
        </w:numPr>
        <w:spacing w:before="120" w:after="120" w:line="264" w:lineRule="auto"/>
        <w:ind w:left="714" w:hanging="357"/>
        <w:contextualSpacing w:val="0"/>
      </w:pPr>
      <w:r w:rsidRPr="00311F57">
        <w:t>Q</w:t>
      </w:r>
      <w:r w:rsidR="004B13B6" w:rsidRPr="00311F57">
        <w:t>uel que soit le rang du dernier appelé, l</w:t>
      </w:r>
      <w:r w:rsidR="007A5B67" w:rsidRPr="00311F57">
        <w:t xml:space="preserve">e taux </w:t>
      </w:r>
      <w:r w:rsidR="004B13B6" w:rsidRPr="00311F57">
        <w:t xml:space="preserve">de bacheliers retenus bénéficiaires d'une bourse nationale de lycée parmi les candidats précédents dans l'ordre d'appel est au moins égal au </w:t>
      </w:r>
      <w:r w:rsidR="009B03A4" w:rsidRPr="00311F57">
        <w:t>taux</w:t>
      </w:r>
      <w:r w:rsidR="004B13B6" w:rsidRPr="00311F57">
        <w:t xml:space="preserve"> minimal de bacheliers bénéficiaires d'une bourse nationale de lycée, sauf dans le cas où tous les candidats suivants dans l'ordre d'appel sont non-boursiers (cas dans lequel le nombre total de boursiers classés est trop faible pour atteindre le </w:t>
      </w:r>
      <w:r w:rsidR="009B03A4" w:rsidRPr="00311F57">
        <w:t>taux</w:t>
      </w:r>
      <w:r w:rsidR="004B13B6" w:rsidRPr="00311F57">
        <w:t xml:space="preserve"> fixé par le recteur</w:t>
      </w:r>
      <w:r w:rsidR="00906AD4" w:rsidRPr="00311F57">
        <w:t xml:space="preserve"> de région</w:t>
      </w:r>
      <w:r w:rsidR="004B13B6" w:rsidRPr="00311F57">
        <w:t>).</w:t>
      </w:r>
    </w:p>
    <w:p w14:paraId="52BE4270" w14:textId="0DB3C64D" w:rsidR="004B13B6" w:rsidRPr="00DE0420" w:rsidRDefault="004B13B6" w:rsidP="00311F57">
      <w:pPr>
        <w:pStyle w:val="Paragraphedeliste"/>
        <w:numPr>
          <w:ilvl w:val="0"/>
          <w:numId w:val="4"/>
        </w:numPr>
        <w:spacing w:before="120" w:after="120" w:line="264" w:lineRule="auto"/>
        <w:ind w:left="714" w:hanging="357"/>
        <w:contextualSpacing w:val="0"/>
        <w:rPr>
          <w:rFonts w:cs="Arial"/>
        </w:rPr>
      </w:pPr>
      <w:r w:rsidRPr="00311F57">
        <w:t>Pour les formations non sélectives, quel que soit le rang du dernier appelé, la proportion de</w:t>
      </w:r>
      <w:r w:rsidRPr="00DE0420">
        <w:rPr>
          <w:rFonts w:cs="Arial"/>
        </w:rPr>
        <w:t xml:space="preserve"> candidats non-résidents du secteur parmi les candidats précédents dans l'ordre d'appel est au plus </w:t>
      </w:r>
      <w:r w:rsidRPr="00DE0420">
        <w:rPr>
          <w:rFonts w:cs="Arial"/>
        </w:rPr>
        <w:lastRenderedPageBreak/>
        <w:t xml:space="preserve">égale au </w:t>
      </w:r>
      <w:r w:rsidR="009B03A4">
        <w:rPr>
          <w:rFonts w:cs="Arial"/>
        </w:rPr>
        <w:t>taux</w:t>
      </w:r>
      <w:r w:rsidRPr="00DE0420">
        <w:rPr>
          <w:rFonts w:cs="Arial"/>
        </w:rPr>
        <w:t xml:space="preserve"> maximal de bacheliers résidant dans un secteur autre que celui dans lequel est situé l'établissement de la formation demandée, excepté dans deux cas : </w:t>
      </w:r>
    </w:p>
    <w:p w14:paraId="68079F12" w14:textId="0BC73DDE" w:rsidR="004B13B6" w:rsidRPr="00DE0420" w:rsidRDefault="00CF1A0F" w:rsidP="00311F57">
      <w:pPr>
        <w:pStyle w:val="Paragraphedeliste"/>
        <w:numPr>
          <w:ilvl w:val="1"/>
          <w:numId w:val="4"/>
        </w:numPr>
        <w:tabs>
          <w:tab w:val="left" w:pos="993"/>
        </w:tabs>
        <w:spacing w:before="120" w:after="120" w:line="264" w:lineRule="auto"/>
        <w:ind w:left="993" w:hanging="284"/>
        <w:contextualSpacing w:val="0"/>
        <w:rPr>
          <w:rFonts w:cs="Arial"/>
        </w:rPr>
      </w:pPr>
      <w:r w:rsidRPr="00DE0420">
        <w:rPr>
          <w:rFonts w:cs="Arial"/>
        </w:rPr>
        <w:t>Si</w:t>
      </w:r>
      <w:r w:rsidR="004B13B6" w:rsidRPr="00DE0420">
        <w:rPr>
          <w:rFonts w:cs="Arial"/>
        </w:rPr>
        <w:t xml:space="preserve"> parmi les candidats suivants dans l’ordre d'appel, aucun n'est un résident du secteur ;</w:t>
      </w:r>
    </w:p>
    <w:p w14:paraId="076E7452" w14:textId="759D1F19" w:rsidR="004B13B6" w:rsidRPr="00DE0420" w:rsidRDefault="00CF1A0F" w:rsidP="00311F57">
      <w:pPr>
        <w:pStyle w:val="Paragraphedeliste"/>
        <w:numPr>
          <w:ilvl w:val="1"/>
          <w:numId w:val="4"/>
        </w:numPr>
        <w:tabs>
          <w:tab w:val="left" w:pos="993"/>
        </w:tabs>
        <w:spacing w:before="120" w:after="120" w:line="264" w:lineRule="auto"/>
        <w:ind w:left="993" w:hanging="284"/>
        <w:contextualSpacing w:val="0"/>
        <w:rPr>
          <w:rFonts w:cs="Arial"/>
        </w:rPr>
      </w:pPr>
      <w:r w:rsidRPr="00DE0420">
        <w:rPr>
          <w:rFonts w:cs="Arial"/>
        </w:rPr>
        <w:t>Ou</w:t>
      </w:r>
      <w:r w:rsidR="004B13B6" w:rsidRPr="00DE0420">
        <w:rPr>
          <w:rFonts w:cs="Arial"/>
        </w:rPr>
        <w:t xml:space="preserve"> bien si parmi les candidats suivants dans l’ordre d’appel, aucun des candidats résidents du secteur n’est bénéficiaire d'une bourse nationale de lycée, et que le respect du </w:t>
      </w:r>
      <w:r w:rsidR="009B03A4">
        <w:rPr>
          <w:rFonts w:cs="Arial"/>
        </w:rPr>
        <w:t>taux</w:t>
      </w:r>
      <w:r w:rsidR="004B13B6" w:rsidRPr="00DE0420">
        <w:rPr>
          <w:rFonts w:cs="Arial"/>
        </w:rPr>
        <w:t xml:space="preserve"> minimal de bacheliers retenus bénéficiaires d'une bourse nationale de lycée interdit leur remontée dans l'ordre d'appel.</w:t>
      </w:r>
    </w:p>
    <w:p w14:paraId="18046922" w14:textId="2D4710CD" w:rsidR="004B13B6" w:rsidRPr="00DE0420" w:rsidRDefault="004B13B6" w:rsidP="00311F57">
      <w:pPr>
        <w:pStyle w:val="Paragraphedeliste"/>
        <w:numPr>
          <w:ilvl w:val="0"/>
          <w:numId w:val="4"/>
        </w:numPr>
        <w:spacing w:before="120" w:after="120" w:line="264" w:lineRule="auto"/>
        <w:ind w:left="714" w:hanging="357"/>
        <w:contextualSpacing w:val="0"/>
        <w:rPr>
          <w:rFonts w:cs="Arial"/>
        </w:rPr>
      </w:pPr>
      <w:r w:rsidRPr="00DE0420">
        <w:rPr>
          <w:rFonts w:cs="Arial"/>
        </w:rPr>
        <w:t xml:space="preserve">En cas d'impossibilité de respecter les deux </w:t>
      </w:r>
      <w:r w:rsidR="009B03A4">
        <w:rPr>
          <w:rFonts w:cs="Arial"/>
        </w:rPr>
        <w:t>taux</w:t>
      </w:r>
      <w:r w:rsidRPr="00DE0420">
        <w:rPr>
          <w:rFonts w:cs="Arial"/>
        </w:rPr>
        <w:t xml:space="preserve"> à la fois, priorité a été donnée par la loi au </w:t>
      </w:r>
      <w:r w:rsidR="009B03A4">
        <w:rPr>
          <w:rFonts w:cs="Arial"/>
        </w:rPr>
        <w:t>taux</w:t>
      </w:r>
      <w:r w:rsidRPr="00DE0420">
        <w:rPr>
          <w:rFonts w:cs="Arial"/>
        </w:rPr>
        <w:t xml:space="preserve"> minimal de bacheliers bénéficiaires d'une bourse nationale de lycée.</w:t>
      </w:r>
    </w:p>
    <w:p w14:paraId="0BB1E4CF" w14:textId="77777777" w:rsidR="004B13B6" w:rsidRPr="00DE0420" w:rsidRDefault="004B13B6" w:rsidP="00311F57">
      <w:pPr>
        <w:pStyle w:val="Paragraphedeliste"/>
        <w:numPr>
          <w:ilvl w:val="0"/>
          <w:numId w:val="4"/>
        </w:numPr>
        <w:spacing w:before="120" w:after="120" w:line="264" w:lineRule="auto"/>
        <w:ind w:left="714" w:hanging="357"/>
        <w:contextualSpacing w:val="0"/>
        <w:rPr>
          <w:rFonts w:cs="Arial"/>
        </w:rPr>
      </w:pPr>
      <w:r w:rsidRPr="00DE0420">
        <w:rPr>
          <w:rFonts w:cs="Arial"/>
        </w:rPr>
        <w:t>L'ordre d'appel est le plus proche possible du classement original des candidats parmi les ordres d'appel vérifiant les propriétés 1) et 2).</w:t>
      </w:r>
    </w:p>
    <w:p w14:paraId="1672A4DE" w14:textId="0315CD6E" w:rsidR="004B13B6" w:rsidRPr="00DE0420" w:rsidRDefault="004B13B6" w:rsidP="00311F57">
      <w:pPr>
        <w:pStyle w:val="Paragraphedeliste"/>
        <w:numPr>
          <w:ilvl w:val="0"/>
          <w:numId w:val="4"/>
        </w:numPr>
        <w:spacing w:before="120" w:after="120" w:line="264" w:lineRule="auto"/>
        <w:ind w:left="714" w:hanging="357"/>
        <w:contextualSpacing w:val="0"/>
        <w:rPr>
          <w:rFonts w:cs="Arial"/>
        </w:rPr>
      </w:pPr>
      <w:r w:rsidRPr="00DE0420">
        <w:rPr>
          <w:rFonts w:cs="Arial"/>
        </w:rPr>
        <w:t>L’ordre entre deux candidats reste le même dans le classement et dans l'ordre d'appel dès lors que les deux candidats appartiennent exactement aux mêmes catégories de candidats définies par les critères - bénéficiaires d'une bourse nationale de lycée et résidents</w:t>
      </w:r>
      <w:r w:rsidR="00E65BFC">
        <w:rPr>
          <w:rFonts w:cs="Arial"/>
        </w:rPr>
        <w:t>. P</w:t>
      </w:r>
      <w:r w:rsidRPr="00DE0420">
        <w:rPr>
          <w:rFonts w:cs="Arial"/>
        </w:rPr>
        <w:t>ar exemple</w:t>
      </w:r>
      <w:r w:rsidR="00E65BFC">
        <w:rPr>
          <w:rFonts w:cs="Arial"/>
        </w:rPr>
        <w:t>,</w:t>
      </w:r>
      <w:r w:rsidRPr="00DE0420">
        <w:rPr>
          <w:rFonts w:cs="Arial"/>
        </w:rPr>
        <w:t xml:space="preserve"> si les deux candidats sont tous deux à la fois non bénéficiaires d'une bourse nationale de lycée et résidents.</w:t>
      </w:r>
    </w:p>
    <w:sectPr w:rsidR="004B13B6" w:rsidRPr="00DE0420" w:rsidSect="00D34AB3">
      <w:headerReference w:type="default" r:id="rId11"/>
      <w:footerReference w:type="default" r:id="rId12"/>
      <w:headerReference w:type="first" r:id="rId13"/>
      <w:pgSz w:w="11906" w:h="16838"/>
      <w:pgMar w:top="1417" w:right="1417" w:bottom="1417" w:left="141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5D27" w14:textId="77777777" w:rsidR="00C63D30" w:rsidRDefault="00C63D30" w:rsidP="00E944B5">
      <w:r>
        <w:separator/>
      </w:r>
    </w:p>
  </w:endnote>
  <w:endnote w:type="continuationSeparator" w:id="0">
    <w:p w14:paraId="656D9AA5" w14:textId="77777777" w:rsidR="00C63D30" w:rsidRDefault="00C63D30" w:rsidP="00E9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3AFF" w14:textId="6CB529FC" w:rsidR="009B6D22" w:rsidRPr="00B2753B" w:rsidRDefault="009B6D22" w:rsidP="002D111C">
    <w:pPr>
      <w:pStyle w:val="Pieddepage"/>
      <w:pBdr>
        <w:top w:val="thinThickSmallGap" w:sz="12" w:space="1" w:color="3D566E"/>
      </w:pBdr>
      <w:tabs>
        <w:tab w:val="clear" w:pos="4536"/>
      </w:tabs>
      <w:rPr>
        <w:rFonts w:asciiTheme="majorHAnsi" w:eastAsia="Times New Roman" w:hAnsiTheme="majorHAnsi"/>
        <w:sz w:val="16"/>
        <w:szCs w:val="16"/>
      </w:rPr>
    </w:pPr>
    <w:r>
      <w:rPr>
        <w:rFonts w:asciiTheme="majorHAnsi" w:eastAsia="Times New Roman" w:hAnsiTheme="majorHAnsi"/>
        <w:sz w:val="16"/>
        <w:szCs w:val="16"/>
      </w:rPr>
      <w:tab/>
    </w:r>
  </w:p>
  <w:p w14:paraId="42DA4671" w14:textId="545338ED" w:rsidR="009B6D22" w:rsidRPr="00AB120E" w:rsidRDefault="009B6D22" w:rsidP="008400E3">
    <w:pPr>
      <w:tabs>
        <w:tab w:val="center" w:pos="4550"/>
        <w:tab w:val="left" w:pos="5818"/>
        <w:tab w:val="right" w:pos="9486"/>
      </w:tabs>
      <w:ind w:left="-850" w:right="260"/>
      <w:rPr>
        <w:color w:val="2A2A2A" w:themeColor="text2" w:themeShade="80"/>
        <w:sz w:val="24"/>
        <w:szCs w:val="24"/>
      </w:rPr>
    </w:pPr>
    <w:r>
      <w:rPr>
        <w:color w:val="3E3E3E" w:themeColor="text2" w:themeShade="BF"/>
        <w:sz w:val="24"/>
        <w:szCs w:val="24"/>
      </w:rPr>
      <w:tab/>
    </w:r>
    <w:r>
      <w:rPr>
        <w:color w:val="3E3E3E" w:themeColor="text2" w:themeShade="BF"/>
        <w:sz w:val="24"/>
        <w:szCs w:val="24"/>
      </w:rPr>
      <w:fldChar w:fldCharType="begin"/>
    </w:r>
    <w:r>
      <w:rPr>
        <w:color w:val="3E3E3E" w:themeColor="text2" w:themeShade="BF"/>
        <w:sz w:val="24"/>
        <w:szCs w:val="24"/>
      </w:rPr>
      <w:instrText>PAGE   \* MERGEFORMAT</w:instrText>
    </w:r>
    <w:r>
      <w:rPr>
        <w:color w:val="3E3E3E" w:themeColor="text2" w:themeShade="BF"/>
        <w:sz w:val="24"/>
        <w:szCs w:val="24"/>
      </w:rPr>
      <w:fldChar w:fldCharType="separate"/>
    </w:r>
    <w:r w:rsidR="0097755A">
      <w:rPr>
        <w:noProof/>
        <w:color w:val="3E3E3E" w:themeColor="text2" w:themeShade="BF"/>
        <w:sz w:val="24"/>
        <w:szCs w:val="24"/>
      </w:rPr>
      <w:t>2</w:t>
    </w:r>
    <w:r>
      <w:rPr>
        <w:color w:val="3E3E3E" w:themeColor="text2" w:themeShade="BF"/>
        <w:sz w:val="24"/>
        <w:szCs w:val="24"/>
      </w:rPr>
      <w:fldChar w:fldCharType="end"/>
    </w:r>
    <w:r>
      <w:rPr>
        <w:color w:val="3E3E3E" w:themeColor="text2" w:themeShade="BF"/>
        <w:sz w:val="24"/>
        <w:szCs w:val="24"/>
      </w:rPr>
      <w:t xml:space="preserve"> | </w:t>
    </w:r>
    <w:r>
      <w:rPr>
        <w:color w:val="3E3E3E" w:themeColor="text2" w:themeShade="BF"/>
        <w:sz w:val="24"/>
        <w:szCs w:val="24"/>
      </w:rPr>
      <w:fldChar w:fldCharType="begin"/>
    </w:r>
    <w:r>
      <w:rPr>
        <w:color w:val="3E3E3E" w:themeColor="text2" w:themeShade="BF"/>
        <w:sz w:val="24"/>
        <w:szCs w:val="24"/>
      </w:rPr>
      <w:instrText>NUMPAGES  \* Arabic  \* MERGEFORMAT</w:instrText>
    </w:r>
    <w:r>
      <w:rPr>
        <w:color w:val="3E3E3E" w:themeColor="text2" w:themeShade="BF"/>
        <w:sz w:val="24"/>
        <w:szCs w:val="24"/>
      </w:rPr>
      <w:fldChar w:fldCharType="separate"/>
    </w:r>
    <w:r w:rsidR="0097755A">
      <w:rPr>
        <w:noProof/>
        <w:color w:val="3E3E3E" w:themeColor="text2" w:themeShade="BF"/>
        <w:sz w:val="24"/>
        <w:szCs w:val="24"/>
      </w:rPr>
      <w:t>6</w:t>
    </w:r>
    <w:r>
      <w:rPr>
        <w:color w:val="3E3E3E"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9B89" w14:textId="77777777" w:rsidR="00C63D30" w:rsidRDefault="00C63D30" w:rsidP="00E944B5">
      <w:r>
        <w:separator/>
      </w:r>
    </w:p>
  </w:footnote>
  <w:footnote w:type="continuationSeparator" w:id="0">
    <w:p w14:paraId="677DAC1D" w14:textId="77777777" w:rsidR="00C63D30" w:rsidRDefault="00C63D30" w:rsidP="00E944B5">
      <w:r>
        <w:continuationSeparator/>
      </w:r>
    </w:p>
  </w:footnote>
  <w:footnote w:id="1">
    <w:p w14:paraId="7838FDF9" w14:textId="575E6721" w:rsidR="00290FA0" w:rsidRDefault="00290FA0">
      <w:pPr>
        <w:pStyle w:val="Notedebasdepage"/>
      </w:pPr>
      <w:r>
        <w:rPr>
          <w:rStyle w:val="Appelnotedebasdep"/>
        </w:rPr>
        <w:footnoteRef/>
      </w:r>
      <w:r>
        <w:t xml:space="preserve"> Y compris les bénéficiaires d’aides sociales « assimilées »(Nouvelle-Calédonie, Polynésie française, lycées de l’AEFE, Maison d’éducation de la légion d’honneur) </w:t>
      </w:r>
    </w:p>
  </w:footnote>
  <w:footnote w:id="2">
    <w:p w14:paraId="4BE0B950" w14:textId="72EB453C" w:rsidR="00FB24CD" w:rsidRPr="00A62F88" w:rsidRDefault="00FB24CD">
      <w:pPr>
        <w:pStyle w:val="Notedebasdepage"/>
      </w:pPr>
      <w:r>
        <w:rPr>
          <w:rStyle w:val="Appelnotedebasdep"/>
        </w:rPr>
        <w:footnoteRef/>
      </w:r>
      <w:r>
        <w:t xml:space="preserve"> </w:t>
      </w:r>
      <w:r w:rsidRPr="00A62F88">
        <w:t>Cf.</w:t>
      </w:r>
      <w:r w:rsidR="00A445E1">
        <w:t xml:space="preserve"> </w:t>
      </w:r>
      <w:hyperlink r:id="rId1" w:history="1">
        <w:r w:rsidR="00A445E1" w:rsidRPr="002B2D46">
          <w:rPr>
            <w:rStyle w:val="Lienhypertexte"/>
          </w:rPr>
          <w:t xml:space="preserve">arrêté du </w:t>
        </w:r>
        <w:r w:rsidR="002713C3" w:rsidRPr="002B2D46">
          <w:rPr>
            <w:rStyle w:val="Lienhypertexte"/>
          </w:rPr>
          <w:t>19</w:t>
        </w:r>
        <w:r w:rsidR="00F13CC8" w:rsidRPr="002B2D46">
          <w:rPr>
            <w:rStyle w:val="Lienhypertexte"/>
          </w:rPr>
          <w:t xml:space="preserve"> 02 202</w:t>
        </w:r>
        <w:r w:rsidR="002B2D46" w:rsidRPr="002B2D46">
          <w:rPr>
            <w:rStyle w:val="Lienhypertexte"/>
          </w:rPr>
          <w:t>6</w:t>
        </w:r>
        <w:r w:rsidR="00A445E1" w:rsidRPr="002B2D46">
          <w:rPr>
            <w:rStyle w:val="Lienhypertexte"/>
          </w:rPr>
          <w:t xml:space="preserve">-JO du </w:t>
        </w:r>
        <w:r w:rsidR="002B2D46" w:rsidRPr="002B2D46">
          <w:rPr>
            <w:rStyle w:val="Lienhypertexte"/>
          </w:rPr>
          <w:t>3-03</w:t>
        </w:r>
        <w:r w:rsidR="00F13CC8" w:rsidRPr="002B2D46">
          <w:rPr>
            <w:rStyle w:val="Lienhypertexte"/>
          </w:rPr>
          <w:t>-202</w:t>
        </w:r>
        <w:r w:rsidR="002B2D46" w:rsidRPr="002B2D46">
          <w:rPr>
            <w:rStyle w:val="Lienhypertexte"/>
          </w:rPr>
          <w:t>6</w:t>
        </w:r>
      </w:hyperlink>
      <w:r w:rsidR="00A445E1" w:rsidRPr="00F13CC8">
        <w:t xml:space="preserve"> et son annexe publiée au</w:t>
      </w:r>
      <w:r w:rsidR="00F13CC8">
        <w:t>x BOEN et BOESR</w:t>
      </w:r>
    </w:p>
  </w:footnote>
  <w:footnote w:id="3">
    <w:p w14:paraId="70AB5B64" w14:textId="06449EA3" w:rsidR="00A62F88" w:rsidRDefault="00A62F88">
      <w:pPr>
        <w:pStyle w:val="Notedebasdepage"/>
      </w:pPr>
      <w:r>
        <w:rPr>
          <w:rStyle w:val="Appelnotedebasdep"/>
        </w:rPr>
        <w:footnoteRef/>
      </w:r>
      <w:r>
        <w:t xml:space="preserve"> S’agissant des IUT, les dispositions légales sont complétées par l’article 17 de l’arrêté du 6 décembre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C4EF" w14:textId="77777777" w:rsidR="009B6D22" w:rsidRPr="00911E4C" w:rsidRDefault="009B6D22" w:rsidP="008400E3">
    <w:pPr>
      <w:pStyle w:val="En-tte"/>
      <w:spacing w:before="160"/>
      <w:ind w:right="-1077"/>
      <w:jc w:val="right"/>
    </w:pPr>
    <w:r>
      <w:rPr>
        <w:noProof/>
        <w:color w:val="3E3E3E" w:themeColor="text2" w:themeShade="BF"/>
        <w:sz w:val="24"/>
        <w:szCs w:val="24"/>
        <w:lang w:eastAsia="fr-FR"/>
      </w:rPr>
      <w:drawing>
        <wp:inline distT="0" distB="0" distL="0" distR="0" wp14:anchorId="21E9C26A" wp14:editId="1FD41335">
          <wp:extent cx="667400" cy="514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int sup.PNG"/>
                  <pic:cNvPicPr/>
                </pic:nvPicPr>
                <pic:blipFill>
                  <a:blip r:embed="rId1">
                    <a:extLst>
                      <a:ext uri="{28A0092B-C50C-407E-A947-70E740481C1C}">
                        <a14:useLocalDpi xmlns:a14="http://schemas.microsoft.com/office/drawing/2010/main" val="0"/>
                      </a:ext>
                    </a:extLst>
                  </a:blip>
                  <a:stretch>
                    <a:fillRect/>
                  </a:stretch>
                </pic:blipFill>
                <pic:spPr>
                  <a:xfrm>
                    <a:off x="0" y="0"/>
                    <a:ext cx="684278" cy="5273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1C0D" w14:textId="0EDEC94F" w:rsidR="009B6D22" w:rsidRDefault="00AB17DC" w:rsidP="00F16366">
    <w:pPr>
      <w:pStyle w:val="En-tte"/>
      <w:jc w:val="left"/>
    </w:pPr>
    <w:r>
      <w:rPr>
        <w:noProof/>
      </w:rPr>
      <w:drawing>
        <wp:inline distT="0" distB="0" distL="0" distR="0" wp14:anchorId="13DD8D88" wp14:editId="358B45DE">
          <wp:extent cx="1744980" cy="1447800"/>
          <wp:effectExtent l="0" t="0" r="7620" b="0"/>
          <wp:docPr id="6" name="Image 6" descr="C:\Users\dadam\AppData\Local\Temp\_PA731\4_Blocs-marque_MESRE\MESRE_jpg\MESRE_RVB.jpg"/>
          <wp:cNvGraphicFramePr/>
          <a:graphic xmlns:a="http://schemas.openxmlformats.org/drawingml/2006/main">
            <a:graphicData uri="http://schemas.openxmlformats.org/drawingml/2006/picture">
              <pic:pic xmlns:pic="http://schemas.openxmlformats.org/drawingml/2006/picture">
                <pic:nvPicPr>
                  <pic:cNvPr id="1" name="Image 1" descr="C:\Users\dadam\AppData\Local\Temp\_PA731\4_Blocs-marque_MESRE\MESRE_jpg\MESRE_RV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1447800"/>
                  </a:xfrm>
                  <a:prstGeom prst="rect">
                    <a:avLst/>
                  </a:prstGeom>
                  <a:noFill/>
                  <a:ln>
                    <a:noFill/>
                  </a:ln>
                </pic:spPr>
              </pic:pic>
            </a:graphicData>
          </a:graphic>
        </wp:inline>
      </w:drawing>
    </w:r>
    <w:r w:rsidR="00F16366">
      <w:rPr>
        <w:noProof/>
        <w:lang w:eastAsia="fr-FR"/>
      </w:rPr>
      <w:drawing>
        <wp:anchor distT="0" distB="0" distL="114300" distR="114300" simplePos="0" relativeHeight="251657216" behindDoc="0" locked="0" layoutInCell="1" allowOverlap="1" wp14:anchorId="1AA3A5DC" wp14:editId="564A3414">
          <wp:simplePos x="0" y="0"/>
          <wp:positionH relativeFrom="column">
            <wp:posOffset>5753735</wp:posOffset>
          </wp:positionH>
          <wp:positionV relativeFrom="paragraph">
            <wp:posOffset>-257</wp:posOffset>
          </wp:positionV>
          <wp:extent cx="657203" cy="491571"/>
          <wp:effectExtent l="0" t="0" r="0" b="381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03" cy="49157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26FD"/>
    <w:multiLevelType w:val="hybridMultilevel"/>
    <w:tmpl w:val="F40E5F48"/>
    <w:lvl w:ilvl="0" w:tplc="7FC07862">
      <w:start w:val="1"/>
      <w:numFmt w:val="bullet"/>
      <w:lvlText w:val=""/>
      <w:lvlJc w:val="left"/>
      <w:pPr>
        <w:ind w:left="360" w:hanging="360"/>
      </w:pPr>
      <w:rPr>
        <w:rFonts w:ascii="Symbol" w:hAnsi="Symbol" w:hint="default"/>
      </w:rPr>
    </w:lvl>
    <w:lvl w:ilvl="1" w:tplc="040C0003" w:tentative="1">
      <w:start w:val="1"/>
      <w:numFmt w:val="bullet"/>
      <w:lvlText w:val="o"/>
      <w:lvlJc w:val="left"/>
      <w:pPr>
        <w:ind w:left="-338" w:hanging="360"/>
      </w:pPr>
      <w:rPr>
        <w:rFonts w:ascii="Courier New" w:hAnsi="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1" w15:restartNumberingAfterBreak="0">
    <w:nsid w:val="0A6915FD"/>
    <w:multiLevelType w:val="hybridMultilevel"/>
    <w:tmpl w:val="8C5AF68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D122425"/>
    <w:multiLevelType w:val="hybridMultilevel"/>
    <w:tmpl w:val="4C66755E"/>
    <w:numStyleLink w:val="Style6import"/>
  </w:abstractNum>
  <w:abstractNum w:abstractNumId="3" w15:restartNumberingAfterBreak="0">
    <w:nsid w:val="0D454F3B"/>
    <w:multiLevelType w:val="hybridMultilevel"/>
    <w:tmpl w:val="818A259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753C50"/>
    <w:multiLevelType w:val="hybridMultilevel"/>
    <w:tmpl w:val="398AC820"/>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C076D9"/>
    <w:multiLevelType w:val="hybridMultilevel"/>
    <w:tmpl w:val="8D06AD62"/>
    <w:lvl w:ilvl="0" w:tplc="97646EC2">
      <w:start w:val="14"/>
      <w:numFmt w:val="bullet"/>
      <w:lvlText w:val="-"/>
      <w:lvlJc w:val="left"/>
      <w:pPr>
        <w:ind w:left="720" w:hanging="360"/>
      </w:pPr>
      <w:rPr>
        <w:rFonts w:ascii="Calibri" w:eastAsiaTheme="minorEastAsia"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11036"/>
    <w:multiLevelType w:val="multilevel"/>
    <w:tmpl w:val="761C95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085BD4"/>
    <w:multiLevelType w:val="hybridMultilevel"/>
    <w:tmpl w:val="4C66755E"/>
    <w:styleLink w:val="Style6import"/>
    <w:lvl w:ilvl="0" w:tplc="1130C5C2">
      <w:start w:val="1"/>
      <w:numFmt w:val="decimal"/>
      <w:lvlText w:val="%1."/>
      <w:lvlJc w:val="left"/>
      <w:pPr>
        <w:tabs>
          <w:tab w:val="left" w:pos="28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52738E">
      <w:start w:val="1"/>
      <w:numFmt w:val="lowerLetter"/>
      <w:lvlText w:val="%2."/>
      <w:lvlJc w:val="left"/>
      <w:pPr>
        <w:tabs>
          <w:tab w:val="left" w:pos="28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18CA5A">
      <w:start w:val="1"/>
      <w:numFmt w:val="lowerRoman"/>
      <w:lvlText w:val="%3."/>
      <w:lvlJc w:val="left"/>
      <w:pPr>
        <w:tabs>
          <w:tab w:val="left" w:pos="284"/>
        </w:tabs>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6A7518">
      <w:start w:val="1"/>
      <w:numFmt w:val="decimal"/>
      <w:lvlText w:val="%4."/>
      <w:lvlJc w:val="left"/>
      <w:pPr>
        <w:tabs>
          <w:tab w:val="left" w:pos="28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E20054">
      <w:start w:val="1"/>
      <w:numFmt w:val="lowerLetter"/>
      <w:lvlText w:val="%5."/>
      <w:lvlJc w:val="left"/>
      <w:pPr>
        <w:tabs>
          <w:tab w:val="left" w:pos="28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6C54C6">
      <w:start w:val="1"/>
      <w:numFmt w:val="lowerRoman"/>
      <w:lvlText w:val="%6."/>
      <w:lvlJc w:val="left"/>
      <w:pPr>
        <w:tabs>
          <w:tab w:val="left" w:pos="284"/>
        </w:tabs>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D62E">
      <w:start w:val="1"/>
      <w:numFmt w:val="decimal"/>
      <w:lvlText w:val="%7."/>
      <w:lvlJc w:val="left"/>
      <w:pPr>
        <w:tabs>
          <w:tab w:val="left" w:pos="28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8CECD0">
      <w:start w:val="1"/>
      <w:numFmt w:val="lowerLetter"/>
      <w:lvlText w:val="%8."/>
      <w:lvlJc w:val="left"/>
      <w:pPr>
        <w:tabs>
          <w:tab w:val="left" w:pos="28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D65420">
      <w:start w:val="1"/>
      <w:numFmt w:val="lowerRoman"/>
      <w:lvlText w:val="%9."/>
      <w:lvlJc w:val="left"/>
      <w:pPr>
        <w:tabs>
          <w:tab w:val="left" w:pos="284"/>
        </w:tabs>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51E2BA0"/>
    <w:multiLevelType w:val="hybridMultilevel"/>
    <w:tmpl w:val="8B36366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C816F11"/>
    <w:multiLevelType w:val="hybridMultilevel"/>
    <w:tmpl w:val="65A84694"/>
    <w:styleLink w:val="Style5import"/>
    <w:lvl w:ilvl="0" w:tplc="1954F510">
      <w:start w:val="1"/>
      <w:numFmt w:val="bullet"/>
      <w:lvlText w:val="-"/>
      <w:lvlJc w:val="left"/>
      <w:pPr>
        <w:ind w:left="720"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ECEB34">
      <w:start w:val="1"/>
      <w:numFmt w:val="bullet"/>
      <w:lvlText w:val="o"/>
      <w:lvlJc w:val="left"/>
      <w:pPr>
        <w:ind w:left="1440"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C5D4">
      <w:start w:val="1"/>
      <w:numFmt w:val="bullet"/>
      <w:lvlText w:val="▪"/>
      <w:lvlJc w:val="left"/>
      <w:pPr>
        <w:ind w:left="2160"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F27F12">
      <w:start w:val="1"/>
      <w:numFmt w:val="bullet"/>
      <w:lvlText w:val="•"/>
      <w:lvlJc w:val="left"/>
      <w:pPr>
        <w:ind w:left="2880"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52592E">
      <w:start w:val="1"/>
      <w:numFmt w:val="bullet"/>
      <w:lvlText w:val="o"/>
      <w:lvlJc w:val="left"/>
      <w:pPr>
        <w:ind w:left="3600"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4ABDE2">
      <w:start w:val="1"/>
      <w:numFmt w:val="bullet"/>
      <w:lvlText w:val="▪"/>
      <w:lvlJc w:val="left"/>
      <w:pPr>
        <w:ind w:left="4320"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24C2E">
      <w:start w:val="1"/>
      <w:numFmt w:val="bullet"/>
      <w:lvlText w:val="•"/>
      <w:lvlJc w:val="left"/>
      <w:pPr>
        <w:ind w:left="5040"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8A2FC4">
      <w:start w:val="1"/>
      <w:numFmt w:val="bullet"/>
      <w:lvlText w:val="o"/>
      <w:lvlJc w:val="left"/>
      <w:pPr>
        <w:ind w:left="5760"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24A42">
      <w:start w:val="1"/>
      <w:numFmt w:val="bullet"/>
      <w:lvlText w:val="▪"/>
      <w:lvlJc w:val="left"/>
      <w:pPr>
        <w:ind w:left="6480" w:hanging="35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E6B4188"/>
    <w:multiLevelType w:val="hybridMultilevel"/>
    <w:tmpl w:val="796470DE"/>
    <w:numStyleLink w:val="Style4import"/>
  </w:abstractNum>
  <w:abstractNum w:abstractNumId="11" w15:restartNumberingAfterBreak="0">
    <w:nsid w:val="45D07589"/>
    <w:multiLevelType w:val="hybridMultilevel"/>
    <w:tmpl w:val="8DDA7E42"/>
    <w:lvl w:ilvl="0" w:tplc="905EC8D8">
      <w:start w:val="3"/>
      <w:numFmt w:val="bullet"/>
      <w:lvlText w:val="-"/>
      <w:lvlJc w:val="left"/>
      <w:pPr>
        <w:ind w:left="720" w:hanging="360"/>
      </w:pPr>
      <w:rPr>
        <w:rFonts w:ascii="Corbel" w:eastAsiaTheme="minorEastAsia" w:hAnsi="Corbe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0230A4"/>
    <w:multiLevelType w:val="hybridMultilevel"/>
    <w:tmpl w:val="A6386056"/>
    <w:styleLink w:val="Style2import"/>
    <w:lvl w:ilvl="0" w:tplc="3FD4F372">
      <w:start w:val="1"/>
      <w:numFmt w:val="bullet"/>
      <w:lvlText w:val="-"/>
      <w:lvlJc w:val="left"/>
      <w:pPr>
        <w:tabs>
          <w:tab w:val="left" w:pos="993"/>
        </w:tabs>
        <w:ind w:left="78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2EFB94">
      <w:start w:val="1"/>
      <w:numFmt w:val="bullet"/>
      <w:lvlText w:val="o"/>
      <w:lvlJc w:val="left"/>
      <w:pPr>
        <w:tabs>
          <w:tab w:val="left" w:pos="993"/>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9ECC02">
      <w:start w:val="1"/>
      <w:numFmt w:val="bullet"/>
      <w:lvlText w:val="▪"/>
      <w:lvlJc w:val="left"/>
      <w:pPr>
        <w:tabs>
          <w:tab w:val="left" w:pos="993"/>
        </w:tabs>
        <w:ind w:left="6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A23EE4">
      <w:start w:val="1"/>
      <w:numFmt w:val="bullet"/>
      <w:lvlText w:val="·"/>
      <w:lvlJc w:val="left"/>
      <w:pPr>
        <w:tabs>
          <w:tab w:val="left" w:pos="993"/>
        </w:tabs>
        <w:ind w:left="138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56F112">
      <w:start w:val="1"/>
      <w:numFmt w:val="bullet"/>
      <w:lvlText w:val="o"/>
      <w:lvlJc w:val="left"/>
      <w:pPr>
        <w:tabs>
          <w:tab w:val="left" w:pos="993"/>
        </w:tabs>
        <w:ind w:left="210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464D5C">
      <w:start w:val="1"/>
      <w:numFmt w:val="bullet"/>
      <w:lvlText w:val="▪"/>
      <w:lvlJc w:val="left"/>
      <w:pPr>
        <w:tabs>
          <w:tab w:val="left" w:pos="993"/>
        </w:tabs>
        <w:ind w:left="28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3A29F8">
      <w:start w:val="1"/>
      <w:numFmt w:val="bullet"/>
      <w:lvlText w:val="·"/>
      <w:lvlJc w:val="left"/>
      <w:pPr>
        <w:tabs>
          <w:tab w:val="left" w:pos="993"/>
        </w:tabs>
        <w:ind w:left="354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52CF62">
      <w:start w:val="1"/>
      <w:numFmt w:val="bullet"/>
      <w:lvlText w:val="o"/>
      <w:lvlJc w:val="left"/>
      <w:pPr>
        <w:tabs>
          <w:tab w:val="left" w:pos="993"/>
        </w:tabs>
        <w:ind w:left="42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188484">
      <w:start w:val="1"/>
      <w:numFmt w:val="bullet"/>
      <w:lvlText w:val="▪"/>
      <w:lvlJc w:val="left"/>
      <w:pPr>
        <w:tabs>
          <w:tab w:val="left" w:pos="993"/>
        </w:tabs>
        <w:ind w:left="49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8C95094"/>
    <w:multiLevelType w:val="hybridMultilevel"/>
    <w:tmpl w:val="277E68CA"/>
    <w:lvl w:ilvl="0" w:tplc="F384C1E6">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373103"/>
    <w:multiLevelType w:val="hybridMultilevel"/>
    <w:tmpl w:val="E312D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B33D92"/>
    <w:multiLevelType w:val="multilevel"/>
    <w:tmpl w:val="610CA89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5CB96DDE"/>
    <w:multiLevelType w:val="hybridMultilevel"/>
    <w:tmpl w:val="796470DE"/>
    <w:styleLink w:val="Style4import"/>
    <w:lvl w:ilvl="0" w:tplc="68F023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C8AB4A">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2A235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44449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8A36AE">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E6230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C871E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025B4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32024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F102B64"/>
    <w:multiLevelType w:val="hybridMultilevel"/>
    <w:tmpl w:val="E7CC2B7E"/>
    <w:numStyleLink w:val="Style1import"/>
  </w:abstractNum>
  <w:abstractNum w:abstractNumId="18" w15:restartNumberingAfterBreak="0">
    <w:nsid w:val="64457D7D"/>
    <w:multiLevelType w:val="hybridMultilevel"/>
    <w:tmpl w:val="A6386056"/>
    <w:numStyleLink w:val="Style2import"/>
  </w:abstractNum>
  <w:abstractNum w:abstractNumId="19" w15:restartNumberingAfterBreak="0">
    <w:nsid w:val="6F60079C"/>
    <w:multiLevelType w:val="hybridMultilevel"/>
    <w:tmpl w:val="65A84694"/>
    <w:numStyleLink w:val="Style5import"/>
  </w:abstractNum>
  <w:abstractNum w:abstractNumId="20" w15:restartNumberingAfterBreak="0">
    <w:nsid w:val="6FF55718"/>
    <w:multiLevelType w:val="hybridMultilevel"/>
    <w:tmpl w:val="E7CC2B7E"/>
    <w:styleLink w:val="Style1import"/>
    <w:lvl w:ilvl="0" w:tplc="F5E4F3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9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69F0">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9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68EC1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9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F86D8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9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641AAC">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9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FA25A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9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4E12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9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D866E2">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9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FCDA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9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D017203"/>
    <w:multiLevelType w:val="hybridMultilevel"/>
    <w:tmpl w:val="4CF014E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963772603">
    <w:abstractNumId w:val="5"/>
  </w:num>
  <w:num w:numId="2" w16cid:durableId="1902710801">
    <w:abstractNumId w:val="6"/>
  </w:num>
  <w:num w:numId="3" w16cid:durableId="1064445958">
    <w:abstractNumId w:val="14"/>
  </w:num>
  <w:num w:numId="4" w16cid:durableId="701786744">
    <w:abstractNumId w:val="4"/>
  </w:num>
  <w:num w:numId="5" w16cid:durableId="156965559">
    <w:abstractNumId w:val="11"/>
  </w:num>
  <w:num w:numId="6" w16cid:durableId="564877388">
    <w:abstractNumId w:val="0"/>
  </w:num>
  <w:num w:numId="7" w16cid:durableId="1312711774">
    <w:abstractNumId w:val="15"/>
  </w:num>
  <w:num w:numId="8" w16cid:durableId="1391534065">
    <w:abstractNumId w:val="21"/>
  </w:num>
  <w:num w:numId="9" w16cid:durableId="1787888062">
    <w:abstractNumId w:val="13"/>
  </w:num>
  <w:num w:numId="10" w16cid:durableId="1283419822">
    <w:abstractNumId w:val="8"/>
  </w:num>
  <w:num w:numId="11" w16cid:durableId="1911958363">
    <w:abstractNumId w:val="20"/>
  </w:num>
  <w:num w:numId="12" w16cid:durableId="2032104807">
    <w:abstractNumId w:val="17"/>
  </w:num>
  <w:num w:numId="13" w16cid:durableId="904796846">
    <w:abstractNumId w:val="12"/>
  </w:num>
  <w:num w:numId="14" w16cid:durableId="1930236869">
    <w:abstractNumId w:val="18"/>
  </w:num>
  <w:num w:numId="15" w16cid:durableId="1191987796">
    <w:abstractNumId w:val="3"/>
  </w:num>
  <w:num w:numId="16" w16cid:durableId="639268699">
    <w:abstractNumId w:val="16"/>
  </w:num>
  <w:num w:numId="17" w16cid:durableId="1709523604">
    <w:abstractNumId w:val="10"/>
  </w:num>
  <w:num w:numId="18" w16cid:durableId="595752735">
    <w:abstractNumId w:val="10"/>
    <w:lvlOverride w:ilvl="0">
      <w:lvl w:ilvl="0" w:tplc="35381830">
        <w:start w:val="1"/>
        <w:numFmt w:val="bullet"/>
        <w:lvlText w:val="▪"/>
        <w:lvlJc w:val="left"/>
        <w:pPr>
          <w:ind w:left="36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4C24170">
        <w:start w:val="1"/>
        <w:numFmt w:val="bullet"/>
        <w:lvlText w:val="o"/>
        <w:lvlJc w:val="left"/>
        <w:pPr>
          <w:ind w:left="1083"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2A81DFC">
        <w:start w:val="1"/>
        <w:numFmt w:val="bullet"/>
        <w:lvlText w:val="▪"/>
        <w:lvlJc w:val="left"/>
        <w:pPr>
          <w:ind w:left="180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B9E4A86">
        <w:start w:val="1"/>
        <w:numFmt w:val="bullet"/>
        <w:lvlText w:val="•"/>
        <w:lvlJc w:val="left"/>
        <w:pPr>
          <w:ind w:left="252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62C4542">
        <w:start w:val="1"/>
        <w:numFmt w:val="bullet"/>
        <w:lvlText w:val="o"/>
        <w:lvlJc w:val="left"/>
        <w:pPr>
          <w:ind w:left="3243"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1929098">
        <w:start w:val="1"/>
        <w:numFmt w:val="bullet"/>
        <w:lvlText w:val="▪"/>
        <w:lvlJc w:val="left"/>
        <w:pPr>
          <w:ind w:left="396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802D6C">
        <w:start w:val="1"/>
        <w:numFmt w:val="bullet"/>
        <w:lvlText w:val="•"/>
        <w:lvlJc w:val="left"/>
        <w:pPr>
          <w:ind w:left="468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1E290EE">
        <w:start w:val="1"/>
        <w:numFmt w:val="bullet"/>
        <w:lvlText w:val="o"/>
        <w:lvlJc w:val="left"/>
        <w:pPr>
          <w:ind w:left="5403"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F5C9A1C">
        <w:start w:val="1"/>
        <w:numFmt w:val="bullet"/>
        <w:lvlText w:val="▪"/>
        <w:lvlJc w:val="left"/>
        <w:pPr>
          <w:ind w:left="612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688605588">
    <w:abstractNumId w:val="9"/>
  </w:num>
  <w:num w:numId="20" w16cid:durableId="1151561716">
    <w:abstractNumId w:val="19"/>
  </w:num>
  <w:num w:numId="21" w16cid:durableId="663364816">
    <w:abstractNumId w:val="19"/>
    <w:lvlOverride w:ilvl="0">
      <w:lvl w:ilvl="0" w:tplc="8AF2CA8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962D1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7CF31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722B90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4E0BFE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9C0809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0C402D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C4B7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7C40FE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1264220392">
    <w:abstractNumId w:val="7"/>
  </w:num>
  <w:num w:numId="23" w16cid:durableId="1739010168">
    <w:abstractNumId w:val="2"/>
  </w:num>
  <w:num w:numId="24" w16cid:durableId="1809205148">
    <w:abstractNumId w:val="2"/>
    <w:lvlOverride w:ilvl="0">
      <w:lvl w:ilvl="0" w:tplc="A6189B1E">
        <w:start w:val="1"/>
        <w:numFmt w:val="decimal"/>
        <w:lvlText w:val="%1."/>
        <w:lvlJc w:val="left"/>
        <w:pPr>
          <w:tabs>
            <w:tab w:val="left" w:pos="28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2720710">
        <w:start w:val="1"/>
        <w:numFmt w:val="lowerLetter"/>
        <w:lvlText w:val="%2."/>
        <w:lvlJc w:val="left"/>
        <w:pPr>
          <w:tabs>
            <w:tab w:val="left" w:pos="2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9EC75C">
        <w:start w:val="1"/>
        <w:numFmt w:val="lowerRoman"/>
        <w:lvlText w:val="%3."/>
        <w:lvlJc w:val="left"/>
        <w:pPr>
          <w:tabs>
            <w:tab w:val="left" w:pos="284"/>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580D22C">
        <w:start w:val="1"/>
        <w:numFmt w:val="decimal"/>
        <w:lvlText w:val="%4."/>
        <w:lvlJc w:val="left"/>
        <w:pPr>
          <w:tabs>
            <w:tab w:val="left" w:pos="28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272C7D0">
        <w:start w:val="1"/>
        <w:numFmt w:val="lowerLetter"/>
        <w:lvlText w:val="%5."/>
        <w:lvlJc w:val="left"/>
        <w:pPr>
          <w:tabs>
            <w:tab w:val="left" w:pos="28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CCAFEE8">
        <w:start w:val="1"/>
        <w:numFmt w:val="lowerRoman"/>
        <w:lvlText w:val="%6."/>
        <w:lvlJc w:val="left"/>
        <w:pPr>
          <w:tabs>
            <w:tab w:val="left" w:pos="284"/>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98E3078">
        <w:start w:val="1"/>
        <w:numFmt w:val="decimal"/>
        <w:lvlText w:val="%7."/>
        <w:lvlJc w:val="left"/>
        <w:pPr>
          <w:tabs>
            <w:tab w:val="left" w:pos="28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29C1A7C">
        <w:start w:val="1"/>
        <w:numFmt w:val="lowerLetter"/>
        <w:lvlText w:val="%8."/>
        <w:lvlJc w:val="left"/>
        <w:pPr>
          <w:tabs>
            <w:tab w:val="left" w:pos="28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4A8478">
        <w:start w:val="1"/>
        <w:numFmt w:val="lowerRoman"/>
        <w:lvlText w:val="%9."/>
        <w:lvlJc w:val="left"/>
        <w:pPr>
          <w:tabs>
            <w:tab w:val="left" w:pos="284"/>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766339940">
    <w:abstractNumId w:val="1"/>
  </w:num>
  <w:num w:numId="26" w16cid:durableId="1100874765">
    <w:abstractNumId w:val="15"/>
  </w:num>
  <w:num w:numId="27" w16cid:durableId="1852724282">
    <w:abstractNumId w:val="15"/>
  </w:num>
  <w:num w:numId="28" w16cid:durableId="2147164078">
    <w:abstractNumId w:val="15"/>
  </w:num>
  <w:num w:numId="29" w16cid:durableId="187262697">
    <w:abstractNumId w:val="15"/>
  </w:num>
  <w:num w:numId="30" w16cid:durableId="1626034208">
    <w:abstractNumId w:val="15"/>
  </w:num>
  <w:num w:numId="31" w16cid:durableId="303656648">
    <w:abstractNumId w:val="15"/>
  </w:num>
  <w:num w:numId="32" w16cid:durableId="832380166">
    <w:abstractNumId w:val="15"/>
  </w:num>
  <w:num w:numId="33" w16cid:durableId="19051370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753"/>
    <w:rsid w:val="00026481"/>
    <w:rsid w:val="00031683"/>
    <w:rsid w:val="000453ED"/>
    <w:rsid w:val="00053B6E"/>
    <w:rsid w:val="000612EA"/>
    <w:rsid w:val="00064FFB"/>
    <w:rsid w:val="00070FCF"/>
    <w:rsid w:val="00090CA5"/>
    <w:rsid w:val="000A1FF6"/>
    <w:rsid w:val="000B197D"/>
    <w:rsid w:val="000B1E15"/>
    <w:rsid w:val="000C7DAD"/>
    <w:rsid w:val="000D5B3E"/>
    <w:rsid w:val="000E1CEE"/>
    <w:rsid w:val="000E3370"/>
    <w:rsid w:val="000F2D87"/>
    <w:rsid w:val="000F691A"/>
    <w:rsid w:val="00101CAE"/>
    <w:rsid w:val="00107A25"/>
    <w:rsid w:val="0011094F"/>
    <w:rsid w:val="00115B5F"/>
    <w:rsid w:val="00124952"/>
    <w:rsid w:val="001344FD"/>
    <w:rsid w:val="00136D33"/>
    <w:rsid w:val="00146974"/>
    <w:rsid w:val="00171E3D"/>
    <w:rsid w:val="00175393"/>
    <w:rsid w:val="001A219C"/>
    <w:rsid w:val="001C0BBC"/>
    <w:rsid w:val="001D2504"/>
    <w:rsid w:val="001E0918"/>
    <w:rsid w:val="00205D5C"/>
    <w:rsid w:val="00211191"/>
    <w:rsid w:val="00216118"/>
    <w:rsid w:val="00224771"/>
    <w:rsid w:val="00226E20"/>
    <w:rsid w:val="00227E85"/>
    <w:rsid w:val="00244363"/>
    <w:rsid w:val="00245C87"/>
    <w:rsid w:val="00250A5A"/>
    <w:rsid w:val="00261400"/>
    <w:rsid w:val="0026221B"/>
    <w:rsid w:val="002713C3"/>
    <w:rsid w:val="00290FA0"/>
    <w:rsid w:val="002A1917"/>
    <w:rsid w:val="002A5C37"/>
    <w:rsid w:val="002A68C0"/>
    <w:rsid w:val="002B0382"/>
    <w:rsid w:val="002B2D46"/>
    <w:rsid w:val="002C2797"/>
    <w:rsid w:val="002C38D2"/>
    <w:rsid w:val="002D111C"/>
    <w:rsid w:val="002D4AE7"/>
    <w:rsid w:val="002D6F47"/>
    <w:rsid w:val="002F78FE"/>
    <w:rsid w:val="00303C0A"/>
    <w:rsid w:val="003057A5"/>
    <w:rsid w:val="00305D82"/>
    <w:rsid w:val="003074E6"/>
    <w:rsid w:val="00311F57"/>
    <w:rsid w:val="0032571B"/>
    <w:rsid w:val="00327495"/>
    <w:rsid w:val="00330A9A"/>
    <w:rsid w:val="00332255"/>
    <w:rsid w:val="003347CA"/>
    <w:rsid w:val="00335CA1"/>
    <w:rsid w:val="00346F1C"/>
    <w:rsid w:val="00347E5F"/>
    <w:rsid w:val="003505E7"/>
    <w:rsid w:val="00365A2B"/>
    <w:rsid w:val="00366375"/>
    <w:rsid w:val="00367175"/>
    <w:rsid w:val="003701C2"/>
    <w:rsid w:val="003771BD"/>
    <w:rsid w:val="00377F98"/>
    <w:rsid w:val="003860AF"/>
    <w:rsid w:val="003D0653"/>
    <w:rsid w:val="003D1608"/>
    <w:rsid w:val="003D634B"/>
    <w:rsid w:val="003F48F1"/>
    <w:rsid w:val="003F7726"/>
    <w:rsid w:val="00415999"/>
    <w:rsid w:val="0042192D"/>
    <w:rsid w:val="00450A41"/>
    <w:rsid w:val="00467B3D"/>
    <w:rsid w:val="00474F7C"/>
    <w:rsid w:val="00475659"/>
    <w:rsid w:val="00485EFE"/>
    <w:rsid w:val="00486658"/>
    <w:rsid w:val="00490E21"/>
    <w:rsid w:val="00491981"/>
    <w:rsid w:val="004A507F"/>
    <w:rsid w:val="004B13B6"/>
    <w:rsid w:val="004B5B57"/>
    <w:rsid w:val="004B7AA6"/>
    <w:rsid w:val="004C3F04"/>
    <w:rsid w:val="004F1165"/>
    <w:rsid w:val="004F4CA8"/>
    <w:rsid w:val="00500414"/>
    <w:rsid w:val="00505579"/>
    <w:rsid w:val="00510753"/>
    <w:rsid w:val="00511062"/>
    <w:rsid w:val="0052150B"/>
    <w:rsid w:val="00532357"/>
    <w:rsid w:val="00537660"/>
    <w:rsid w:val="005523C0"/>
    <w:rsid w:val="00554924"/>
    <w:rsid w:val="00560C07"/>
    <w:rsid w:val="00562B0D"/>
    <w:rsid w:val="00565ED0"/>
    <w:rsid w:val="0059023D"/>
    <w:rsid w:val="005917C6"/>
    <w:rsid w:val="005C42BA"/>
    <w:rsid w:val="005E1E31"/>
    <w:rsid w:val="005E69AE"/>
    <w:rsid w:val="005E6C55"/>
    <w:rsid w:val="006124BC"/>
    <w:rsid w:val="006210BF"/>
    <w:rsid w:val="006227D3"/>
    <w:rsid w:val="0062659B"/>
    <w:rsid w:val="00627B43"/>
    <w:rsid w:val="00634BAE"/>
    <w:rsid w:val="00640E01"/>
    <w:rsid w:val="00645CAF"/>
    <w:rsid w:val="00646A87"/>
    <w:rsid w:val="0066021D"/>
    <w:rsid w:val="00672711"/>
    <w:rsid w:val="00681203"/>
    <w:rsid w:val="006856D7"/>
    <w:rsid w:val="006A06D0"/>
    <w:rsid w:val="006A2809"/>
    <w:rsid w:val="006A2B12"/>
    <w:rsid w:val="006A55AA"/>
    <w:rsid w:val="006A6447"/>
    <w:rsid w:val="006B534F"/>
    <w:rsid w:val="006D12DD"/>
    <w:rsid w:val="006D311A"/>
    <w:rsid w:val="006D41E8"/>
    <w:rsid w:val="006F4FB0"/>
    <w:rsid w:val="00704888"/>
    <w:rsid w:val="007228C9"/>
    <w:rsid w:val="00722917"/>
    <w:rsid w:val="00730798"/>
    <w:rsid w:val="007309D1"/>
    <w:rsid w:val="00735E04"/>
    <w:rsid w:val="00757083"/>
    <w:rsid w:val="00757D46"/>
    <w:rsid w:val="007607A2"/>
    <w:rsid w:val="00772B1F"/>
    <w:rsid w:val="00781C9D"/>
    <w:rsid w:val="00783476"/>
    <w:rsid w:val="00787724"/>
    <w:rsid w:val="007925C3"/>
    <w:rsid w:val="00792898"/>
    <w:rsid w:val="007A5B67"/>
    <w:rsid w:val="007D23CB"/>
    <w:rsid w:val="007D3D69"/>
    <w:rsid w:val="007E3332"/>
    <w:rsid w:val="007E5A3F"/>
    <w:rsid w:val="007F4D13"/>
    <w:rsid w:val="007F6417"/>
    <w:rsid w:val="007F7D7A"/>
    <w:rsid w:val="008011C6"/>
    <w:rsid w:val="008068F4"/>
    <w:rsid w:val="0081021F"/>
    <w:rsid w:val="00811C6F"/>
    <w:rsid w:val="00815FFA"/>
    <w:rsid w:val="0082496D"/>
    <w:rsid w:val="0083246E"/>
    <w:rsid w:val="00833169"/>
    <w:rsid w:val="00836C83"/>
    <w:rsid w:val="008400E3"/>
    <w:rsid w:val="00880E52"/>
    <w:rsid w:val="008849ED"/>
    <w:rsid w:val="008A1072"/>
    <w:rsid w:val="008B279B"/>
    <w:rsid w:val="008B5A78"/>
    <w:rsid w:val="008D15EC"/>
    <w:rsid w:val="008D65EB"/>
    <w:rsid w:val="008E4723"/>
    <w:rsid w:val="008E5503"/>
    <w:rsid w:val="008F0B5E"/>
    <w:rsid w:val="008F10A4"/>
    <w:rsid w:val="008F11FC"/>
    <w:rsid w:val="008F48A0"/>
    <w:rsid w:val="00906AD4"/>
    <w:rsid w:val="00906CCC"/>
    <w:rsid w:val="00911E4C"/>
    <w:rsid w:val="00922E3C"/>
    <w:rsid w:val="00927A64"/>
    <w:rsid w:val="00930DF4"/>
    <w:rsid w:val="009311A1"/>
    <w:rsid w:val="00932FD3"/>
    <w:rsid w:val="00933CD0"/>
    <w:rsid w:val="00936F3D"/>
    <w:rsid w:val="0094092B"/>
    <w:rsid w:val="00940CF4"/>
    <w:rsid w:val="009414C7"/>
    <w:rsid w:val="00947B88"/>
    <w:rsid w:val="009558D9"/>
    <w:rsid w:val="00960A83"/>
    <w:rsid w:val="00965C83"/>
    <w:rsid w:val="0097503A"/>
    <w:rsid w:val="0097755A"/>
    <w:rsid w:val="009A2401"/>
    <w:rsid w:val="009B013A"/>
    <w:rsid w:val="009B03A4"/>
    <w:rsid w:val="009B6D22"/>
    <w:rsid w:val="009C3398"/>
    <w:rsid w:val="009D19AE"/>
    <w:rsid w:val="009D6B5F"/>
    <w:rsid w:val="009E4D47"/>
    <w:rsid w:val="009E5E6B"/>
    <w:rsid w:val="00A00AE8"/>
    <w:rsid w:val="00A01431"/>
    <w:rsid w:val="00A04E30"/>
    <w:rsid w:val="00A11B58"/>
    <w:rsid w:val="00A21D09"/>
    <w:rsid w:val="00A40189"/>
    <w:rsid w:val="00A41756"/>
    <w:rsid w:val="00A445E1"/>
    <w:rsid w:val="00A55FF2"/>
    <w:rsid w:val="00A61403"/>
    <w:rsid w:val="00A62F88"/>
    <w:rsid w:val="00A6498E"/>
    <w:rsid w:val="00A66B0C"/>
    <w:rsid w:val="00A70646"/>
    <w:rsid w:val="00A916F7"/>
    <w:rsid w:val="00AA0336"/>
    <w:rsid w:val="00AA0D02"/>
    <w:rsid w:val="00AB120E"/>
    <w:rsid w:val="00AB17DC"/>
    <w:rsid w:val="00AB3348"/>
    <w:rsid w:val="00AB5432"/>
    <w:rsid w:val="00AC4341"/>
    <w:rsid w:val="00AC6C62"/>
    <w:rsid w:val="00AD088F"/>
    <w:rsid w:val="00AF2109"/>
    <w:rsid w:val="00AF2D52"/>
    <w:rsid w:val="00AF367E"/>
    <w:rsid w:val="00B02DE7"/>
    <w:rsid w:val="00B046AA"/>
    <w:rsid w:val="00B0676D"/>
    <w:rsid w:val="00B0745B"/>
    <w:rsid w:val="00B16635"/>
    <w:rsid w:val="00B24440"/>
    <w:rsid w:val="00B2753B"/>
    <w:rsid w:val="00B37D22"/>
    <w:rsid w:val="00B471AC"/>
    <w:rsid w:val="00B648A9"/>
    <w:rsid w:val="00B70392"/>
    <w:rsid w:val="00B97FFE"/>
    <w:rsid w:val="00BB0A38"/>
    <w:rsid w:val="00BB0CC7"/>
    <w:rsid w:val="00BB322C"/>
    <w:rsid w:val="00BC0D75"/>
    <w:rsid w:val="00BD2FA2"/>
    <w:rsid w:val="00BD4CA4"/>
    <w:rsid w:val="00BD5C6A"/>
    <w:rsid w:val="00BE1E4F"/>
    <w:rsid w:val="00BF49DE"/>
    <w:rsid w:val="00BF4C56"/>
    <w:rsid w:val="00C01B8D"/>
    <w:rsid w:val="00C02ED5"/>
    <w:rsid w:val="00C14422"/>
    <w:rsid w:val="00C150AA"/>
    <w:rsid w:val="00C34F8B"/>
    <w:rsid w:val="00C45081"/>
    <w:rsid w:val="00C47579"/>
    <w:rsid w:val="00C5153E"/>
    <w:rsid w:val="00C53F37"/>
    <w:rsid w:val="00C63D30"/>
    <w:rsid w:val="00C704A4"/>
    <w:rsid w:val="00C748B5"/>
    <w:rsid w:val="00C8107F"/>
    <w:rsid w:val="00C92B26"/>
    <w:rsid w:val="00C97AC7"/>
    <w:rsid w:val="00CA5B57"/>
    <w:rsid w:val="00CB4737"/>
    <w:rsid w:val="00CB4C8E"/>
    <w:rsid w:val="00CC325E"/>
    <w:rsid w:val="00CD4C26"/>
    <w:rsid w:val="00CE24F7"/>
    <w:rsid w:val="00CE3A6B"/>
    <w:rsid w:val="00CE5F4F"/>
    <w:rsid w:val="00CE63D5"/>
    <w:rsid w:val="00CF1A0F"/>
    <w:rsid w:val="00D21FB9"/>
    <w:rsid w:val="00D25917"/>
    <w:rsid w:val="00D30835"/>
    <w:rsid w:val="00D34AB3"/>
    <w:rsid w:val="00D37461"/>
    <w:rsid w:val="00D40BD0"/>
    <w:rsid w:val="00D4132F"/>
    <w:rsid w:val="00D4548D"/>
    <w:rsid w:val="00D52BF8"/>
    <w:rsid w:val="00D6381B"/>
    <w:rsid w:val="00DB28AD"/>
    <w:rsid w:val="00DB34FC"/>
    <w:rsid w:val="00DB7254"/>
    <w:rsid w:val="00DC6C47"/>
    <w:rsid w:val="00DE0420"/>
    <w:rsid w:val="00DE6DEA"/>
    <w:rsid w:val="00DE79F7"/>
    <w:rsid w:val="00DF6209"/>
    <w:rsid w:val="00DF6F1D"/>
    <w:rsid w:val="00E05227"/>
    <w:rsid w:val="00E14F33"/>
    <w:rsid w:val="00E248F8"/>
    <w:rsid w:val="00E31E82"/>
    <w:rsid w:val="00E36DCF"/>
    <w:rsid w:val="00E43874"/>
    <w:rsid w:val="00E451B9"/>
    <w:rsid w:val="00E544F5"/>
    <w:rsid w:val="00E64912"/>
    <w:rsid w:val="00E65BFC"/>
    <w:rsid w:val="00E70AEA"/>
    <w:rsid w:val="00E744CC"/>
    <w:rsid w:val="00E764F8"/>
    <w:rsid w:val="00E86390"/>
    <w:rsid w:val="00E8654D"/>
    <w:rsid w:val="00E905B9"/>
    <w:rsid w:val="00E91810"/>
    <w:rsid w:val="00E944B5"/>
    <w:rsid w:val="00EA1477"/>
    <w:rsid w:val="00EA7B69"/>
    <w:rsid w:val="00EC3488"/>
    <w:rsid w:val="00EC3903"/>
    <w:rsid w:val="00ED1C8D"/>
    <w:rsid w:val="00ED39AA"/>
    <w:rsid w:val="00ED4561"/>
    <w:rsid w:val="00ED47C3"/>
    <w:rsid w:val="00EE3A9C"/>
    <w:rsid w:val="00EE40AB"/>
    <w:rsid w:val="00F036AB"/>
    <w:rsid w:val="00F13CC8"/>
    <w:rsid w:val="00F15764"/>
    <w:rsid w:val="00F16366"/>
    <w:rsid w:val="00F23F9F"/>
    <w:rsid w:val="00F324B3"/>
    <w:rsid w:val="00F638B7"/>
    <w:rsid w:val="00F7754F"/>
    <w:rsid w:val="00F81954"/>
    <w:rsid w:val="00F90FB0"/>
    <w:rsid w:val="00F93E0E"/>
    <w:rsid w:val="00FA2977"/>
    <w:rsid w:val="00FB1577"/>
    <w:rsid w:val="00FB24CD"/>
    <w:rsid w:val="00FD14EA"/>
    <w:rsid w:val="00FD5CDD"/>
    <w:rsid w:val="00FE09BF"/>
    <w:rsid w:val="00FE4D58"/>
    <w:rsid w:val="00FF16E4"/>
    <w:rsid w:val="00FF4CC4"/>
    <w:rsid w:val="00FF7E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E64CC5"/>
  <w15:docId w15:val="{7909E317-A9B4-4BE7-98B8-F8F232DE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B5"/>
    <w:pPr>
      <w:jc w:val="both"/>
    </w:pPr>
  </w:style>
  <w:style w:type="paragraph" w:styleId="Titre1">
    <w:name w:val="heading 1"/>
    <w:basedOn w:val="Normal"/>
    <w:next w:val="Normal"/>
    <w:link w:val="Titre1Car"/>
    <w:uiPriority w:val="9"/>
    <w:qFormat/>
    <w:rsid w:val="00327495"/>
    <w:pPr>
      <w:keepNext/>
      <w:keepLines/>
      <w:numPr>
        <w:numId w:val="7"/>
      </w:numPr>
      <w:spacing w:before="600" w:after="80" w:line="240" w:lineRule="auto"/>
      <w:jc w:val="left"/>
      <w:outlineLvl w:val="0"/>
    </w:pPr>
    <w:rPr>
      <w:rFonts w:asciiTheme="majorHAnsi" w:eastAsiaTheme="majorEastAsia" w:hAnsiTheme="majorHAnsi" w:cstheme="majorBidi"/>
      <w:color w:val="3D566E"/>
      <w:sz w:val="32"/>
      <w:szCs w:val="32"/>
    </w:rPr>
  </w:style>
  <w:style w:type="paragraph" w:styleId="Titre2">
    <w:name w:val="heading 2"/>
    <w:basedOn w:val="Normal"/>
    <w:next w:val="Normal"/>
    <w:link w:val="Titre2Car"/>
    <w:uiPriority w:val="9"/>
    <w:unhideWhenUsed/>
    <w:qFormat/>
    <w:rsid w:val="00224771"/>
    <w:pPr>
      <w:numPr>
        <w:ilvl w:val="1"/>
        <w:numId w:val="7"/>
      </w:numPr>
      <w:outlineLvl w:val="1"/>
    </w:pPr>
    <w:rPr>
      <w:b/>
      <w:color w:val="4D4D4D"/>
    </w:rPr>
  </w:style>
  <w:style w:type="paragraph" w:styleId="Titre3">
    <w:name w:val="heading 3"/>
    <w:basedOn w:val="Normal"/>
    <w:next w:val="Normal"/>
    <w:link w:val="Titre3Car"/>
    <w:uiPriority w:val="9"/>
    <w:unhideWhenUsed/>
    <w:qFormat/>
    <w:rsid w:val="00224771"/>
    <w:pPr>
      <w:numPr>
        <w:ilvl w:val="2"/>
        <w:numId w:val="7"/>
      </w:numPr>
      <w:tabs>
        <w:tab w:val="left" w:pos="5865"/>
      </w:tabs>
      <w:outlineLvl w:val="2"/>
    </w:pPr>
    <w:rPr>
      <w:color w:val="3D566E"/>
    </w:rPr>
  </w:style>
  <w:style w:type="paragraph" w:styleId="Titre4">
    <w:name w:val="heading 4"/>
    <w:basedOn w:val="Normal"/>
    <w:next w:val="Normal"/>
    <w:link w:val="Titre4Car"/>
    <w:uiPriority w:val="9"/>
    <w:semiHidden/>
    <w:unhideWhenUsed/>
    <w:qFormat/>
    <w:rsid w:val="001344FD"/>
    <w:pPr>
      <w:keepNext/>
      <w:keepLines/>
      <w:numPr>
        <w:ilvl w:val="3"/>
        <w:numId w:val="7"/>
      </w:numPr>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1344FD"/>
    <w:pPr>
      <w:keepNext/>
      <w:keepLines/>
      <w:numPr>
        <w:ilvl w:val="4"/>
        <w:numId w:val="7"/>
      </w:numPr>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1344FD"/>
    <w:pPr>
      <w:keepNext/>
      <w:keepLines/>
      <w:numPr>
        <w:ilvl w:val="5"/>
        <w:numId w:val="7"/>
      </w:numPr>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1344FD"/>
    <w:pPr>
      <w:keepNext/>
      <w:keepLines/>
      <w:numPr>
        <w:ilvl w:val="6"/>
        <w:numId w:val="7"/>
      </w:numPr>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1344FD"/>
    <w:pPr>
      <w:keepNext/>
      <w:keepLines/>
      <w:numPr>
        <w:ilvl w:val="7"/>
        <w:numId w:val="7"/>
      </w:numPr>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1344FD"/>
    <w:pPr>
      <w:keepNext/>
      <w:keepLines/>
      <w:numPr>
        <w:ilvl w:val="8"/>
        <w:numId w:val="7"/>
      </w:numPr>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7495"/>
    <w:rPr>
      <w:rFonts w:asciiTheme="majorHAnsi" w:eastAsiaTheme="majorEastAsia" w:hAnsiTheme="majorHAnsi" w:cstheme="majorBidi"/>
      <w:color w:val="3D566E"/>
      <w:sz w:val="32"/>
      <w:szCs w:val="32"/>
    </w:rPr>
  </w:style>
  <w:style w:type="character" w:customStyle="1" w:styleId="Titre2Car">
    <w:name w:val="Titre 2 Car"/>
    <w:basedOn w:val="Policepardfaut"/>
    <w:link w:val="Titre2"/>
    <w:uiPriority w:val="9"/>
    <w:rsid w:val="00224771"/>
    <w:rPr>
      <w:b/>
      <w:color w:val="4D4D4D"/>
    </w:rPr>
  </w:style>
  <w:style w:type="character" w:customStyle="1" w:styleId="Titre3Car">
    <w:name w:val="Titre 3 Car"/>
    <w:basedOn w:val="Policepardfaut"/>
    <w:link w:val="Titre3"/>
    <w:uiPriority w:val="9"/>
    <w:rsid w:val="00224771"/>
    <w:rPr>
      <w:color w:val="3D566E"/>
    </w:rPr>
  </w:style>
  <w:style w:type="character" w:customStyle="1" w:styleId="Titre4Car">
    <w:name w:val="Titre 4 Car"/>
    <w:basedOn w:val="Policepardfaut"/>
    <w:link w:val="Titre4"/>
    <w:uiPriority w:val="9"/>
    <w:semiHidden/>
    <w:rsid w:val="001344FD"/>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1344FD"/>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1344FD"/>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1344FD"/>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1344FD"/>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1344FD"/>
    <w:rPr>
      <w:b/>
      <w:bCs/>
      <w:i/>
      <w:iCs/>
    </w:rPr>
  </w:style>
  <w:style w:type="paragraph" w:styleId="Lgende">
    <w:name w:val="caption"/>
    <w:basedOn w:val="Normal"/>
    <w:next w:val="Normal"/>
    <w:uiPriority w:val="35"/>
    <w:semiHidden/>
    <w:unhideWhenUsed/>
    <w:qFormat/>
    <w:rsid w:val="001344FD"/>
    <w:pPr>
      <w:spacing w:line="240" w:lineRule="auto"/>
    </w:pPr>
    <w:rPr>
      <w:b/>
      <w:bCs/>
      <w:color w:val="404040" w:themeColor="text1" w:themeTint="BF"/>
      <w:sz w:val="16"/>
      <w:szCs w:val="16"/>
    </w:rPr>
  </w:style>
  <w:style w:type="paragraph" w:styleId="Titre">
    <w:name w:val="Title"/>
    <w:basedOn w:val="Normal"/>
    <w:next w:val="Normal"/>
    <w:link w:val="TitreCar"/>
    <w:autoRedefine/>
    <w:uiPriority w:val="10"/>
    <w:qFormat/>
    <w:rsid w:val="00FB24CD"/>
    <w:pPr>
      <w:shd w:val="clear" w:color="auto" w:fill="FFFFFF" w:themeFill="background1"/>
      <w:spacing w:before="240" w:after="0" w:line="300" w:lineRule="exact"/>
      <w:jc w:val="center"/>
    </w:pPr>
    <w:rPr>
      <w:rFonts w:eastAsiaTheme="majorEastAsia" w:cstheme="majorBidi"/>
      <w:caps/>
      <w:noProof/>
      <w:color w:val="3D566E"/>
      <w:spacing w:val="30"/>
      <w:sz w:val="18"/>
      <w:szCs w:val="18"/>
      <w:lang w:eastAsia="fr-FR"/>
    </w:rPr>
  </w:style>
  <w:style w:type="character" w:customStyle="1" w:styleId="TitreCar">
    <w:name w:val="Titre Car"/>
    <w:basedOn w:val="Policepardfaut"/>
    <w:link w:val="Titre"/>
    <w:uiPriority w:val="10"/>
    <w:rsid w:val="00FB24CD"/>
    <w:rPr>
      <w:rFonts w:eastAsiaTheme="majorEastAsia" w:cstheme="majorBidi"/>
      <w:caps/>
      <w:noProof/>
      <w:color w:val="3D566E"/>
      <w:spacing w:val="30"/>
      <w:sz w:val="18"/>
      <w:szCs w:val="18"/>
      <w:shd w:val="clear" w:color="auto" w:fill="FFFFFF" w:themeFill="background1"/>
      <w:lang w:eastAsia="fr-FR"/>
    </w:rPr>
  </w:style>
  <w:style w:type="paragraph" w:styleId="Sous-titre">
    <w:name w:val="Subtitle"/>
    <w:basedOn w:val="Normal"/>
    <w:next w:val="Normal"/>
    <w:link w:val="Sous-titreCar"/>
    <w:uiPriority w:val="11"/>
    <w:qFormat/>
    <w:rsid w:val="001344FD"/>
    <w:pPr>
      <w:numPr>
        <w:ilvl w:val="1"/>
      </w:numPr>
      <w:jc w:val="center"/>
    </w:pPr>
    <w:rPr>
      <w:color w:val="545454" w:themeColor="text2"/>
      <w:sz w:val="28"/>
      <w:szCs w:val="28"/>
    </w:rPr>
  </w:style>
  <w:style w:type="character" w:customStyle="1" w:styleId="Sous-titreCar">
    <w:name w:val="Sous-titre Car"/>
    <w:basedOn w:val="Policepardfaut"/>
    <w:link w:val="Sous-titre"/>
    <w:uiPriority w:val="11"/>
    <w:rsid w:val="001344FD"/>
    <w:rPr>
      <w:color w:val="545454" w:themeColor="text2"/>
      <w:sz w:val="28"/>
      <w:szCs w:val="28"/>
    </w:rPr>
  </w:style>
  <w:style w:type="character" w:styleId="lev">
    <w:name w:val="Strong"/>
    <w:basedOn w:val="Policepardfaut"/>
    <w:uiPriority w:val="22"/>
    <w:qFormat/>
    <w:rsid w:val="001344FD"/>
    <w:rPr>
      <w:b/>
      <w:bCs/>
    </w:rPr>
  </w:style>
  <w:style w:type="character" w:styleId="Accentuation">
    <w:name w:val="Emphasis"/>
    <w:basedOn w:val="Policepardfaut"/>
    <w:uiPriority w:val="20"/>
    <w:qFormat/>
    <w:rsid w:val="001344FD"/>
    <w:rPr>
      <w:i/>
      <w:iCs/>
      <w:color w:val="000000" w:themeColor="text1"/>
    </w:rPr>
  </w:style>
  <w:style w:type="paragraph" w:styleId="Sansinterligne">
    <w:name w:val="No Spacing"/>
    <w:link w:val="SansinterligneCar"/>
    <w:uiPriority w:val="1"/>
    <w:qFormat/>
    <w:rsid w:val="001344FD"/>
    <w:pPr>
      <w:spacing w:after="0" w:line="240" w:lineRule="auto"/>
    </w:pPr>
  </w:style>
  <w:style w:type="paragraph" w:styleId="Citation">
    <w:name w:val="Quote"/>
    <w:basedOn w:val="Normal"/>
    <w:next w:val="Normal"/>
    <w:link w:val="CitationCar"/>
    <w:uiPriority w:val="29"/>
    <w:qFormat/>
    <w:rsid w:val="001344FD"/>
    <w:pPr>
      <w:spacing w:before="160"/>
      <w:ind w:left="720" w:right="720"/>
      <w:jc w:val="center"/>
    </w:pPr>
    <w:rPr>
      <w:i/>
      <w:iCs/>
      <w:color w:val="6B8B1A" w:themeColor="accent3" w:themeShade="BF"/>
      <w:sz w:val="24"/>
      <w:szCs w:val="24"/>
    </w:rPr>
  </w:style>
  <w:style w:type="character" w:customStyle="1" w:styleId="CitationCar">
    <w:name w:val="Citation Car"/>
    <w:basedOn w:val="Policepardfaut"/>
    <w:link w:val="Citation"/>
    <w:uiPriority w:val="29"/>
    <w:rsid w:val="001344FD"/>
    <w:rPr>
      <w:i/>
      <w:iCs/>
      <w:color w:val="6B8B1A" w:themeColor="accent3" w:themeShade="BF"/>
      <w:sz w:val="24"/>
      <w:szCs w:val="24"/>
    </w:rPr>
  </w:style>
  <w:style w:type="paragraph" w:styleId="Citationintense">
    <w:name w:val="Intense Quote"/>
    <w:basedOn w:val="Normal"/>
    <w:next w:val="Normal"/>
    <w:link w:val="CitationintenseCar"/>
    <w:uiPriority w:val="30"/>
    <w:qFormat/>
    <w:rsid w:val="001344FD"/>
    <w:pPr>
      <w:spacing w:before="160" w:line="276" w:lineRule="auto"/>
      <w:ind w:left="936" w:right="936"/>
      <w:jc w:val="center"/>
    </w:pPr>
    <w:rPr>
      <w:rFonts w:asciiTheme="majorHAnsi" w:eastAsiaTheme="majorEastAsia" w:hAnsiTheme="majorHAnsi" w:cstheme="majorBidi"/>
      <w:caps/>
      <w:color w:val="2790A5" w:themeColor="accent1" w:themeShade="BF"/>
      <w:sz w:val="28"/>
      <w:szCs w:val="28"/>
    </w:rPr>
  </w:style>
  <w:style w:type="character" w:customStyle="1" w:styleId="CitationintenseCar">
    <w:name w:val="Citation intense Car"/>
    <w:basedOn w:val="Policepardfaut"/>
    <w:link w:val="Citationintense"/>
    <w:uiPriority w:val="30"/>
    <w:rsid w:val="001344FD"/>
    <w:rPr>
      <w:rFonts w:asciiTheme="majorHAnsi" w:eastAsiaTheme="majorEastAsia" w:hAnsiTheme="majorHAnsi" w:cstheme="majorBidi"/>
      <w:caps/>
      <w:color w:val="2790A5" w:themeColor="accent1" w:themeShade="BF"/>
      <w:sz w:val="28"/>
      <w:szCs w:val="28"/>
    </w:rPr>
  </w:style>
  <w:style w:type="character" w:styleId="Accentuationlgre">
    <w:name w:val="Subtle Emphasis"/>
    <w:basedOn w:val="Policepardfaut"/>
    <w:uiPriority w:val="19"/>
    <w:qFormat/>
    <w:rsid w:val="001344FD"/>
    <w:rPr>
      <w:i/>
      <w:iCs/>
      <w:color w:val="595959" w:themeColor="text1" w:themeTint="A6"/>
    </w:rPr>
  </w:style>
  <w:style w:type="character" w:styleId="Accentuationintense">
    <w:name w:val="Intense Emphasis"/>
    <w:basedOn w:val="Policepardfaut"/>
    <w:uiPriority w:val="21"/>
    <w:qFormat/>
    <w:rsid w:val="001344FD"/>
    <w:rPr>
      <w:b/>
      <w:bCs/>
      <w:i/>
      <w:iCs/>
      <w:color w:val="auto"/>
    </w:rPr>
  </w:style>
  <w:style w:type="character" w:styleId="Rfrencelgre">
    <w:name w:val="Subtle Reference"/>
    <w:basedOn w:val="Policepardfaut"/>
    <w:uiPriority w:val="31"/>
    <w:qFormat/>
    <w:rsid w:val="001344FD"/>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1344FD"/>
    <w:rPr>
      <w:b/>
      <w:bCs/>
      <w:caps w:val="0"/>
      <w:smallCaps/>
      <w:color w:val="auto"/>
      <w:spacing w:val="0"/>
      <w:u w:val="single"/>
    </w:rPr>
  </w:style>
  <w:style w:type="character" w:styleId="Titredulivre">
    <w:name w:val="Book Title"/>
    <w:basedOn w:val="Policepardfaut"/>
    <w:uiPriority w:val="33"/>
    <w:qFormat/>
    <w:rsid w:val="001344FD"/>
    <w:rPr>
      <w:b/>
      <w:bCs/>
      <w:caps w:val="0"/>
      <w:smallCaps/>
      <w:spacing w:val="0"/>
    </w:rPr>
  </w:style>
  <w:style w:type="paragraph" w:styleId="En-ttedetabledesmatires">
    <w:name w:val="TOC Heading"/>
    <w:basedOn w:val="Titre1"/>
    <w:next w:val="Normal"/>
    <w:uiPriority w:val="39"/>
    <w:unhideWhenUsed/>
    <w:qFormat/>
    <w:rsid w:val="001344FD"/>
    <w:pPr>
      <w:outlineLvl w:val="9"/>
    </w:pPr>
  </w:style>
  <w:style w:type="paragraph" w:styleId="En-tte">
    <w:name w:val="header"/>
    <w:basedOn w:val="Normal"/>
    <w:link w:val="En-tteCar"/>
    <w:uiPriority w:val="99"/>
    <w:unhideWhenUsed/>
    <w:rsid w:val="0094092B"/>
    <w:pPr>
      <w:tabs>
        <w:tab w:val="center" w:pos="4536"/>
        <w:tab w:val="right" w:pos="9072"/>
      </w:tabs>
      <w:spacing w:after="0" w:line="240" w:lineRule="auto"/>
    </w:pPr>
  </w:style>
  <w:style w:type="character" w:customStyle="1" w:styleId="En-tteCar">
    <w:name w:val="En-tête Car"/>
    <w:basedOn w:val="Policepardfaut"/>
    <w:link w:val="En-tte"/>
    <w:uiPriority w:val="99"/>
    <w:rsid w:val="0094092B"/>
  </w:style>
  <w:style w:type="paragraph" w:styleId="Pieddepage">
    <w:name w:val="footer"/>
    <w:basedOn w:val="Normal"/>
    <w:link w:val="PieddepageCar"/>
    <w:uiPriority w:val="99"/>
    <w:unhideWhenUsed/>
    <w:rsid w:val="009409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092B"/>
  </w:style>
  <w:style w:type="paragraph" w:customStyle="1" w:styleId="Default">
    <w:name w:val="Default"/>
    <w:rsid w:val="00E764F8"/>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link w:val="ParagraphedelisteCar"/>
    <w:uiPriority w:val="34"/>
    <w:qFormat/>
    <w:rsid w:val="00C97AC7"/>
    <w:pPr>
      <w:ind w:left="720"/>
      <w:contextualSpacing/>
    </w:pPr>
  </w:style>
  <w:style w:type="paragraph" w:styleId="Textedebulles">
    <w:name w:val="Balloon Text"/>
    <w:basedOn w:val="Normal"/>
    <w:link w:val="TextedebullesCar"/>
    <w:uiPriority w:val="99"/>
    <w:semiHidden/>
    <w:unhideWhenUsed/>
    <w:rsid w:val="00FB15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577"/>
    <w:rPr>
      <w:rFonts w:ascii="Segoe UI" w:hAnsi="Segoe UI" w:cs="Segoe UI"/>
      <w:sz w:val="18"/>
      <w:szCs w:val="18"/>
    </w:rPr>
  </w:style>
  <w:style w:type="character" w:customStyle="1" w:styleId="SansinterligneCar">
    <w:name w:val="Sans interligne Car"/>
    <w:basedOn w:val="Policepardfaut"/>
    <w:link w:val="Sansinterligne"/>
    <w:uiPriority w:val="1"/>
    <w:rsid w:val="00D34AB3"/>
  </w:style>
  <w:style w:type="character" w:styleId="Textedelespacerserv">
    <w:name w:val="Placeholder Text"/>
    <w:basedOn w:val="Policepardfaut"/>
    <w:uiPriority w:val="99"/>
    <w:semiHidden/>
    <w:rsid w:val="00D6381B"/>
    <w:rPr>
      <w:color w:val="808080"/>
    </w:rPr>
  </w:style>
  <w:style w:type="character" w:styleId="Marquedecommentaire">
    <w:name w:val="annotation reference"/>
    <w:basedOn w:val="Policepardfaut"/>
    <w:uiPriority w:val="99"/>
    <w:semiHidden/>
    <w:unhideWhenUsed/>
    <w:rsid w:val="002D6F47"/>
    <w:rPr>
      <w:sz w:val="16"/>
      <w:szCs w:val="16"/>
    </w:rPr>
  </w:style>
  <w:style w:type="paragraph" w:styleId="Commentaire">
    <w:name w:val="annotation text"/>
    <w:basedOn w:val="Normal"/>
    <w:link w:val="CommentaireCar"/>
    <w:uiPriority w:val="99"/>
    <w:semiHidden/>
    <w:unhideWhenUsed/>
    <w:rsid w:val="002D6F47"/>
    <w:pPr>
      <w:spacing w:line="240" w:lineRule="auto"/>
    </w:pPr>
    <w:rPr>
      <w:sz w:val="20"/>
      <w:szCs w:val="20"/>
    </w:rPr>
  </w:style>
  <w:style w:type="character" w:customStyle="1" w:styleId="CommentaireCar">
    <w:name w:val="Commentaire Car"/>
    <w:basedOn w:val="Policepardfaut"/>
    <w:link w:val="Commentaire"/>
    <w:uiPriority w:val="99"/>
    <w:semiHidden/>
    <w:rsid w:val="002D6F47"/>
    <w:rPr>
      <w:sz w:val="20"/>
      <w:szCs w:val="20"/>
    </w:rPr>
  </w:style>
  <w:style w:type="paragraph" w:styleId="Objetducommentaire">
    <w:name w:val="annotation subject"/>
    <w:basedOn w:val="Commentaire"/>
    <w:next w:val="Commentaire"/>
    <w:link w:val="ObjetducommentaireCar"/>
    <w:uiPriority w:val="99"/>
    <w:semiHidden/>
    <w:unhideWhenUsed/>
    <w:rsid w:val="002D6F47"/>
    <w:rPr>
      <w:b/>
      <w:bCs/>
    </w:rPr>
  </w:style>
  <w:style w:type="character" w:customStyle="1" w:styleId="ObjetducommentaireCar">
    <w:name w:val="Objet du commentaire Car"/>
    <w:basedOn w:val="CommentaireCar"/>
    <w:link w:val="Objetducommentaire"/>
    <w:uiPriority w:val="99"/>
    <w:semiHidden/>
    <w:rsid w:val="002D6F47"/>
    <w:rPr>
      <w:b/>
      <w:bCs/>
      <w:sz w:val="20"/>
      <w:szCs w:val="20"/>
    </w:rPr>
  </w:style>
  <w:style w:type="character" w:styleId="Lienhypertexte">
    <w:name w:val="Hyperlink"/>
    <w:basedOn w:val="Policepardfaut"/>
    <w:uiPriority w:val="99"/>
    <w:unhideWhenUsed/>
    <w:rsid w:val="00836C83"/>
    <w:rPr>
      <w:color w:val="90BB23" w:themeColor="hyperlink"/>
      <w:u w:val="single"/>
    </w:rPr>
  </w:style>
  <w:style w:type="paragraph" w:styleId="TM1">
    <w:name w:val="toc 1"/>
    <w:basedOn w:val="Normal"/>
    <w:next w:val="Normal"/>
    <w:autoRedefine/>
    <w:uiPriority w:val="39"/>
    <w:unhideWhenUsed/>
    <w:rsid w:val="00F81954"/>
    <w:pPr>
      <w:spacing w:after="100"/>
    </w:pPr>
  </w:style>
  <w:style w:type="paragraph" w:customStyle="1" w:styleId="Corps">
    <w:name w:val="Corps"/>
    <w:rsid w:val="002D4AE7"/>
    <w:pPr>
      <w:pBdr>
        <w:top w:val="nil"/>
        <w:left w:val="nil"/>
        <w:bottom w:val="nil"/>
        <w:right w:val="nil"/>
        <w:between w:val="nil"/>
        <w:bar w:val="nil"/>
      </w:pBdr>
      <w:spacing w:after="200" w:line="276" w:lineRule="auto"/>
    </w:pPr>
    <w:rPr>
      <w:rFonts w:ascii="Cambria" w:eastAsia="Cambria" w:hAnsi="Cambria" w:cs="Cambria"/>
      <w:color w:val="000000"/>
      <w:sz w:val="22"/>
      <w:szCs w:val="22"/>
      <w:u w:color="000000"/>
      <w:bdr w:val="nil"/>
      <w:lang w:eastAsia="fr-FR"/>
    </w:rPr>
  </w:style>
  <w:style w:type="numbering" w:customStyle="1" w:styleId="Style1import">
    <w:name w:val="Style 1 importé"/>
    <w:rsid w:val="002D4AE7"/>
    <w:pPr>
      <w:numPr>
        <w:numId w:val="11"/>
      </w:numPr>
    </w:pPr>
  </w:style>
  <w:style w:type="numbering" w:customStyle="1" w:styleId="Style2import">
    <w:name w:val="Style 2 importé"/>
    <w:rsid w:val="002D4AE7"/>
    <w:pPr>
      <w:numPr>
        <w:numId w:val="13"/>
      </w:numPr>
    </w:pPr>
  </w:style>
  <w:style w:type="numbering" w:customStyle="1" w:styleId="Style4import">
    <w:name w:val="Style 4 importé"/>
    <w:rsid w:val="004B13B6"/>
    <w:pPr>
      <w:numPr>
        <w:numId w:val="16"/>
      </w:numPr>
    </w:pPr>
  </w:style>
  <w:style w:type="numbering" w:customStyle="1" w:styleId="Style5import">
    <w:name w:val="Style 5 importé"/>
    <w:rsid w:val="004B13B6"/>
    <w:pPr>
      <w:numPr>
        <w:numId w:val="19"/>
      </w:numPr>
    </w:pPr>
  </w:style>
  <w:style w:type="paragraph" w:styleId="Textebrut">
    <w:name w:val="Plain Text"/>
    <w:link w:val="TextebrutCar"/>
    <w:uiPriority w:val="99"/>
    <w:rsid w:val="004B13B6"/>
    <w:pPr>
      <w:pBdr>
        <w:top w:val="nil"/>
        <w:left w:val="nil"/>
        <w:bottom w:val="nil"/>
        <w:right w:val="nil"/>
        <w:between w:val="nil"/>
        <w:bar w:val="nil"/>
      </w:pBdr>
      <w:spacing w:after="0" w:line="240" w:lineRule="auto"/>
    </w:pPr>
    <w:rPr>
      <w:rFonts w:ascii="Calibri" w:eastAsia="Calibri" w:hAnsi="Calibri" w:cs="Calibri"/>
      <w:color w:val="000000"/>
      <w:sz w:val="22"/>
      <w:szCs w:val="22"/>
      <w:u w:color="000000"/>
      <w:bdr w:val="nil"/>
      <w:lang w:eastAsia="fr-FR"/>
    </w:rPr>
  </w:style>
  <w:style w:type="character" w:customStyle="1" w:styleId="TextebrutCar">
    <w:name w:val="Texte brut Car"/>
    <w:basedOn w:val="Policepardfaut"/>
    <w:link w:val="Textebrut"/>
    <w:uiPriority w:val="99"/>
    <w:rsid w:val="004B13B6"/>
    <w:rPr>
      <w:rFonts w:ascii="Calibri" w:eastAsia="Calibri" w:hAnsi="Calibri" w:cs="Calibri"/>
      <w:color w:val="000000"/>
      <w:sz w:val="22"/>
      <w:szCs w:val="22"/>
      <w:u w:color="000000"/>
      <w:bdr w:val="nil"/>
      <w:lang w:eastAsia="fr-FR"/>
    </w:rPr>
  </w:style>
  <w:style w:type="numbering" w:customStyle="1" w:styleId="Style6import">
    <w:name w:val="Style 6 importé"/>
    <w:rsid w:val="004B13B6"/>
    <w:pPr>
      <w:numPr>
        <w:numId w:val="22"/>
      </w:numPr>
    </w:pPr>
  </w:style>
  <w:style w:type="paragraph" w:styleId="TM2">
    <w:name w:val="toc 2"/>
    <w:basedOn w:val="Normal"/>
    <w:next w:val="Normal"/>
    <w:autoRedefine/>
    <w:uiPriority w:val="39"/>
    <w:unhideWhenUsed/>
    <w:rsid w:val="006A06D0"/>
    <w:pPr>
      <w:spacing w:after="100"/>
      <w:ind w:left="210"/>
    </w:pPr>
  </w:style>
  <w:style w:type="paragraph" w:styleId="Notedebasdepage">
    <w:name w:val="footnote text"/>
    <w:basedOn w:val="Normal"/>
    <w:link w:val="NotedebasdepageCar"/>
    <w:uiPriority w:val="99"/>
    <w:semiHidden/>
    <w:unhideWhenUsed/>
    <w:rsid w:val="00FB24C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24CD"/>
    <w:rPr>
      <w:sz w:val="20"/>
      <w:szCs w:val="20"/>
    </w:rPr>
  </w:style>
  <w:style w:type="character" w:styleId="Appelnotedebasdep">
    <w:name w:val="footnote reference"/>
    <w:basedOn w:val="Policepardfaut"/>
    <w:uiPriority w:val="99"/>
    <w:semiHidden/>
    <w:unhideWhenUsed/>
    <w:rsid w:val="00FB24CD"/>
    <w:rPr>
      <w:vertAlign w:val="superscript"/>
    </w:rPr>
  </w:style>
  <w:style w:type="paragraph" w:styleId="TM3">
    <w:name w:val="toc 3"/>
    <w:basedOn w:val="Normal"/>
    <w:next w:val="Normal"/>
    <w:autoRedefine/>
    <w:uiPriority w:val="39"/>
    <w:unhideWhenUsed/>
    <w:rsid w:val="00474F7C"/>
    <w:pPr>
      <w:spacing w:after="100"/>
      <w:ind w:left="420"/>
    </w:pPr>
  </w:style>
  <w:style w:type="paragraph" w:styleId="Rvision">
    <w:name w:val="Revision"/>
    <w:hidden/>
    <w:uiPriority w:val="99"/>
    <w:semiHidden/>
    <w:rsid w:val="009E4D47"/>
    <w:pPr>
      <w:spacing w:after="0" w:line="240" w:lineRule="auto"/>
    </w:pPr>
  </w:style>
  <w:style w:type="character" w:styleId="Lienhypertextesuivivisit">
    <w:name w:val="FollowedHyperlink"/>
    <w:basedOn w:val="Policepardfaut"/>
    <w:uiPriority w:val="99"/>
    <w:semiHidden/>
    <w:unhideWhenUsed/>
    <w:rsid w:val="00AF2D52"/>
    <w:rPr>
      <w:color w:val="EE7008" w:themeColor="followedHyperlink"/>
      <w:u w:val="single"/>
    </w:rPr>
  </w:style>
  <w:style w:type="character" w:customStyle="1" w:styleId="ParagraphedelisteCar">
    <w:name w:val="Paragraphe de liste Car"/>
    <w:basedOn w:val="Policepardfaut"/>
    <w:link w:val="Paragraphedeliste"/>
    <w:uiPriority w:val="34"/>
    <w:locked/>
    <w:rsid w:val="00B37D22"/>
  </w:style>
  <w:style w:type="character" w:styleId="Mentionnonrsolue">
    <w:name w:val="Unresolved Mention"/>
    <w:basedOn w:val="Policepardfaut"/>
    <w:uiPriority w:val="99"/>
    <w:semiHidden/>
    <w:unhideWhenUsed/>
    <w:rsid w:val="008F0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46046">
      <w:bodyDiv w:val="1"/>
      <w:marLeft w:val="0"/>
      <w:marRight w:val="0"/>
      <w:marTop w:val="0"/>
      <w:marBottom w:val="0"/>
      <w:divBdr>
        <w:top w:val="none" w:sz="0" w:space="0" w:color="auto"/>
        <w:left w:val="none" w:sz="0" w:space="0" w:color="auto"/>
        <w:bottom w:val="none" w:sz="0" w:space="0" w:color="auto"/>
        <w:right w:val="none" w:sz="0" w:space="0" w:color="auto"/>
      </w:divBdr>
    </w:div>
    <w:div w:id="827289731">
      <w:bodyDiv w:val="1"/>
      <w:marLeft w:val="0"/>
      <w:marRight w:val="0"/>
      <w:marTop w:val="0"/>
      <w:marBottom w:val="0"/>
      <w:divBdr>
        <w:top w:val="none" w:sz="0" w:space="0" w:color="auto"/>
        <w:left w:val="none" w:sz="0" w:space="0" w:color="auto"/>
        <w:bottom w:val="none" w:sz="0" w:space="0" w:color="auto"/>
        <w:right w:val="none" w:sz="0" w:space="0" w:color="auto"/>
      </w:divBdr>
    </w:div>
    <w:div w:id="211127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rvices.dgesip.fr/T454/S764/algorithme_national_de_parcoursup" TargetMode="External"/><Relationship Id="rId4" Type="http://schemas.openxmlformats.org/officeDocument/2006/relationships/settings" Target="settings.xml"/><Relationship Id="rId9" Type="http://schemas.openxmlformats.org/officeDocument/2006/relationships/hyperlink" Target="https://www.legifrance.gouv.fr/jorf/id/JORFTEXT00005356891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jorf/id/JORFTEXT0000536135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Cadre">
  <a:themeElements>
    <a:clrScheme name="Cadr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Cadre">
      <a:maj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adr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1AF6-500B-4CCE-BAA4-A51B1FAC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2330</Words>
  <Characters>12815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définition et PRINCIPES DE MISE EN OEUVRE</dc:subject>
  <dc:creator>Session 2026</dc:creator>
  <cp:lastModifiedBy>NICOLAS RUSQUES</cp:lastModifiedBy>
  <cp:revision>2</cp:revision>
  <cp:lastPrinted>2023-04-07T20:06:00Z</cp:lastPrinted>
  <dcterms:created xsi:type="dcterms:W3CDTF">2026-03-13T12:05:00Z</dcterms:created>
  <dcterms:modified xsi:type="dcterms:W3CDTF">2026-03-13T12:05:00Z</dcterms:modified>
</cp:coreProperties>
</file>