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2310" w14:textId="452C659D" w:rsidR="00991A7E" w:rsidRDefault="00BE66C7" w:rsidP="00CA103B">
      <w:pPr>
        <w:tabs>
          <w:tab w:val="clear" w:pos="720"/>
          <w:tab w:val="clear" w:pos="5954"/>
        </w:tabs>
        <w:ind w:left="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ANNEXE 3</w:t>
      </w:r>
    </w:p>
    <w:p w14:paraId="697704BC" w14:textId="77777777" w:rsidR="00BE66C7" w:rsidRDefault="00BE66C7" w:rsidP="00CA103B">
      <w:pPr>
        <w:tabs>
          <w:tab w:val="clear" w:pos="720"/>
          <w:tab w:val="clear" w:pos="5954"/>
        </w:tabs>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Rappel sur les projections nationales disponibles en matière d’effectifs d’étudiants</w:t>
      </w:r>
    </w:p>
    <w:p w14:paraId="15FD9E08" w14:textId="77777777" w:rsidR="00BE66C7" w:rsidRDefault="00BE66C7" w:rsidP="001D5863">
      <w:pPr>
        <w:tabs>
          <w:tab w:val="clear" w:pos="720"/>
          <w:tab w:val="clear" w:pos="5954"/>
        </w:tabs>
        <w:ind w:left="0"/>
        <w:rPr>
          <w:rFonts w:ascii="Times New Roman" w:eastAsia="Times New Roman" w:hAnsi="Times New Roman" w:cs="Times New Roman"/>
          <w:b/>
          <w:sz w:val="24"/>
          <w:szCs w:val="24"/>
        </w:rPr>
      </w:pPr>
    </w:p>
    <w:p w14:paraId="3DA44471" w14:textId="77777777" w:rsidR="00706486" w:rsidRPr="00706486" w:rsidRDefault="00706486" w:rsidP="001D5863">
      <w:pPr>
        <w:tabs>
          <w:tab w:val="clear" w:pos="720"/>
          <w:tab w:val="clear" w:pos="5954"/>
        </w:tabs>
        <w:ind w:left="0"/>
        <w:rPr>
          <w:rFonts w:ascii="Times New Roman" w:eastAsia="Times New Roman" w:hAnsi="Times New Roman" w:cs="Times New Roman"/>
          <w:sz w:val="24"/>
          <w:szCs w:val="24"/>
        </w:rPr>
      </w:pPr>
      <w:r w:rsidRPr="00706486">
        <w:rPr>
          <w:rFonts w:ascii="Times New Roman" w:eastAsia="Times New Roman" w:hAnsi="Times New Roman" w:cs="Times New Roman"/>
          <w:b/>
          <w:sz w:val="24"/>
          <w:szCs w:val="24"/>
        </w:rPr>
        <w:t>Note Flash n°2019.21 : Prévisions des effectifs dans l'enseignement supérieur - Rentrées 2019 et 2020</w:t>
      </w:r>
      <w:r>
        <w:rPr>
          <w:rFonts w:ascii="Times New Roman" w:eastAsia="Times New Roman" w:hAnsi="Times New Roman" w:cs="Times New Roman"/>
          <w:sz w:val="24"/>
          <w:szCs w:val="24"/>
        </w:rPr>
        <w:t>, octobre 2019</w:t>
      </w:r>
    </w:p>
    <w:p w14:paraId="61E26AFB" w14:textId="77777777" w:rsidR="00706486" w:rsidRDefault="00FF5218" w:rsidP="00706486">
      <w:pPr>
        <w:tabs>
          <w:tab w:val="clear" w:pos="720"/>
          <w:tab w:val="clear" w:pos="5954"/>
        </w:tabs>
        <w:ind w:left="0"/>
        <w:rPr>
          <w:rFonts w:ascii="Times New Roman" w:eastAsia="Times New Roman" w:hAnsi="Times New Roman" w:cs="Times New Roman"/>
          <w:sz w:val="20"/>
          <w:szCs w:val="20"/>
        </w:rPr>
      </w:pPr>
      <w:hyperlink r:id="rId8" w:history="1">
        <w:r w:rsidR="00706486" w:rsidRPr="00706486">
          <w:rPr>
            <w:rStyle w:val="Lienhypertexte"/>
            <w:rFonts w:ascii="Times New Roman" w:eastAsia="Times New Roman" w:hAnsi="Times New Roman" w:cs="Times New Roman"/>
            <w:sz w:val="20"/>
            <w:szCs w:val="20"/>
          </w:rPr>
          <w:t>https://www.enseignementsup-recherche.gouv.fr/cid146031/previsions-des-effectifs-dans-l-enseignement-superieur-rentrees-2019-et-2020.html</w:t>
        </w:r>
      </w:hyperlink>
      <w:r w:rsidR="00706486" w:rsidRPr="00706486">
        <w:rPr>
          <w:rFonts w:ascii="Times New Roman" w:eastAsia="Times New Roman" w:hAnsi="Times New Roman" w:cs="Times New Roman"/>
          <w:sz w:val="20"/>
          <w:szCs w:val="20"/>
        </w:rPr>
        <w:t xml:space="preserve"> </w:t>
      </w:r>
    </w:p>
    <w:p w14:paraId="462F0769" w14:textId="77777777" w:rsidR="00706486" w:rsidRDefault="00706486" w:rsidP="00706486">
      <w:pPr>
        <w:tabs>
          <w:tab w:val="clear" w:pos="720"/>
          <w:tab w:val="clear" w:pos="5954"/>
        </w:tabs>
        <w:ind w:left="0"/>
        <w:rPr>
          <w:rFonts w:ascii="Times New Roman" w:eastAsia="Times New Roman" w:hAnsi="Times New Roman" w:cs="Times New Roman"/>
          <w:b/>
          <w:sz w:val="24"/>
          <w:szCs w:val="24"/>
        </w:rPr>
      </w:pPr>
    </w:p>
    <w:p w14:paraId="153C1406" w14:textId="77777777" w:rsidR="007011C2" w:rsidRPr="007011C2" w:rsidRDefault="007011C2" w:rsidP="007011C2">
      <w:pPr>
        <w:tabs>
          <w:tab w:val="clear" w:pos="720"/>
          <w:tab w:val="clear" w:pos="5954"/>
        </w:tabs>
        <w:ind w:left="0"/>
        <w:jc w:val="both"/>
        <w:rPr>
          <w:rFonts w:ascii="Times New Roman" w:hAnsi="Times New Roman" w:cs="Times New Roman"/>
          <w:sz w:val="24"/>
          <w:szCs w:val="24"/>
        </w:rPr>
      </w:pPr>
      <w:r w:rsidRPr="007011C2">
        <w:rPr>
          <w:rFonts w:ascii="Times New Roman" w:hAnsi="Times New Roman" w:cs="Times New Roman"/>
          <w:sz w:val="24"/>
          <w:szCs w:val="24"/>
        </w:rPr>
        <w:t>Au total, 2,71 millions d'étudiants devraient être enregistrés en 2019-2020 dans l'enseignement supérieur, en progression de +1,2 % par rapport à l'année précédente. Puis en 2020-2021, 2,73 millions d'étudiants sont prévus, en hausse de +0,6 % en un an. L'augmentation concerne principalement les universités et les écoles privées, tandis que les effectifs dans les filières courtes et sélectives devraient décroître.</w:t>
      </w:r>
    </w:p>
    <w:p w14:paraId="3CD8EB98" w14:textId="77777777" w:rsidR="007011C2" w:rsidRDefault="007011C2" w:rsidP="00706486">
      <w:pPr>
        <w:tabs>
          <w:tab w:val="clear" w:pos="720"/>
          <w:tab w:val="clear" w:pos="5954"/>
        </w:tabs>
        <w:ind w:left="0"/>
        <w:rPr>
          <w:rFonts w:ascii="Times New Roman" w:eastAsia="Times New Roman" w:hAnsi="Times New Roman" w:cs="Times New Roman"/>
          <w:b/>
          <w:sz w:val="24"/>
          <w:szCs w:val="24"/>
        </w:rPr>
      </w:pPr>
    </w:p>
    <w:p w14:paraId="68D2EFA5" w14:textId="77777777" w:rsidR="007011C2" w:rsidRDefault="007011C2" w:rsidP="00706486">
      <w:pPr>
        <w:tabs>
          <w:tab w:val="clear" w:pos="720"/>
          <w:tab w:val="clear" w:pos="5954"/>
        </w:tabs>
        <w:ind w:left="0"/>
        <w:rPr>
          <w:rFonts w:ascii="Times New Roman" w:eastAsia="Times New Roman" w:hAnsi="Times New Roman" w:cs="Times New Roman"/>
          <w:b/>
          <w:sz w:val="24"/>
          <w:szCs w:val="24"/>
        </w:rPr>
      </w:pPr>
    </w:p>
    <w:p w14:paraId="7F408D71" w14:textId="77777777" w:rsidR="00706486" w:rsidRDefault="00706486" w:rsidP="00706486">
      <w:pPr>
        <w:tabs>
          <w:tab w:val="clear" w:pos="720"/>
          <w:tab w:val="clear" w:pos="5954"/>
        </w:tabs>
        <w:ind w:left="0"/>
        <w:rPr>
          <w:rFonts w:ascii="Times New Roman" w:eastAsia="Times New Roman" w:hAnsi="Times New Roman" w:cs="Times New Roman"/>
          <w:sz w:val="24"/>
          <w:szCs w:val="24"/>
        </w:rPr>
      </w:pPr>
      <w:r w:rsidRPr="00706486">
        <w:rPr>
          <w:rFonts w:ascii="Times New Roman" w:eastAsia="Times New Roman" w:hAnsi="Times New Roman" w:cs="Times New Roman"/>
          <w:b/>
          <w:sz w:val="24"/>
          <w:szCs w:val="24"/>
        </w:rPr>
        <w:t>Note d’information n°2019.06 : Projections des effectifs dans l'enseignement supérieur pour les rentrées de 2018 à 2027</w:t>
      </w:r>
      <w:r>
        <w:rPr>
          <w:rFonts w:ascii="Times New Roman" w:eastAsia="Times New Roman" w:hAnsi="Times New Roman" w:cs="Times New Roman"/>
          <w:sz w:val="24"/>
          <w:szCs w:val="24"/>
        </w:rPr>
        <w:t>, avril 2019</w:t>
      </w:r>
    </w:p>
    <w:p w14:paraId="6A7F1598" w14:textId="77777777" w:rsidR="00706486" w:rsidRDefault="00FF5218" w:rsidP="00706486">
      <w:pPr>
        <w:tabs>
          <w:tab w:val="clear" w:pos="720"/>
          <w:tab w:val="clear" w:pos="5954"/>
        </w:tabs>
        <w:ind w:left="0"/>
        <w:rPr>
          <w:rFonts w:ascii="Times New Roman" w:eastAsia="Times New Roman" w:hAnsi="Times New Roman" w:cs="Times New Roman"/>
          <w:sz w:val="20"/>
          <w:szCs w:val="20"/>
        </w:rPr>
      </w:pPr>
      <w:hyperlink r:id="rId9" w:history="1">
        <w:r w:rsidR="00706486" w:rsidRPr="00BD08C9">
          <w:rPr>
            <w:rStyle w:val="Lienhypertexte"/>
            <w:rFonts w:ascii="Times New Roman" w:eastAsia="Times New Roman" w:hAnsi="Times New Roman" w:cs="Times New Roman"/>
            <w:sz w:val="20"/>
            <w:szCs w:val="20"/>
          </w:rPr>
          <w:t>https://www.enseignementsup-recherche.gouv.fr/cid141042/projections-des-effectifs-dans-l-enseignement-superieur-pour-les-rentrees-de-2018-a-2027.html</w:t>
        </w:r>
      </w:hyperlink>
    </w:p>
    <w:p w14:paraId="286C577D" w14:textId="77777777" w:rsidR="00706486" w:rsidRPr="00706486" w:rsidRDefault="00706486" w:rsidP="00706486">
      <w:pPr>
        <w:tabs>
          <w:tab w:val="clear" w:pos="720"/>
          <w:tab w:val="clear" w:pos="5954"/>
        </w:tabs>
        <w:ind w:left="0"/>
        <w:rPr>
          <w:rFonts w:ascii="Times New Roman" w:eastAsia="Times New Roman" w:hAnsi="Times New Roman" w:cs="Times New Roman"/>
          <w:sz w:val="20"/>
          <w:szCs w:val="20"/>
        </w:rPr>
      </w:pPr>
    </w:p>
    <w:p w14:paraId="5F652622" w14:textId="77777777" w:rsidR="007011C2" w:rsidRDefault="007011C2" w:rsidP="007011C2">
      <w:pPr>
        <w:tabs>
          <w:tab w:val="clear" w:pos="720"/>
          <w:tab w:val="clear" w:pos="5954"/>
        </w:tabs>
        <w:ind w:left="0"/>
        <w:jc w:val="both"/>
        <w:rPr>
          <w:rFonts w:ascii="Times New Roman" w:hAnsi="Times New Roman" w:cs="Times New Roman"/>
          <w:sz w:val="24"/>
          <w:szCs w:val="24"/>
        </w:rPr>
      </w:pPr>
      <w:r w:rsidRPr="007011C2">
        <w:rPr>
          <w:rFonts w:ascii="Times New Roman" w:hAnsi="Times New Roman" w:cs="Times New Roman"/>
          <w:sz w:val="24"/>
          <w:szCs w:val="24"/>
        </w:rPr>
        <w:t xml:space="preserve">Selon les prévisions effectuées à partir des résultats du baccalauréat, des choix d'orientation observés les années précédentes et des premières informations disponibles sur l'année en cours, les inscriptions à la rentrée 2018 auraient augmenté de 2,1 % sur l'ensemble de l'enseignement supérieur, soit + 55 000 étudiants environ. À la rentrée 2019, marquée par une pause de la croissance démographique après le boom des naissances de l'an 2000, le nombre d'inscriptions devrait s'accroitre de 34 000 étudiants supplémentaires, soit une augmentation de presque 90000 étudiants en deux ans. Si les tendances en termes d'orientation, de poursuite d'études et de démographie se prolongent, l'enseignement supérieur pourrait rassembler en 2022, 2,75 millions d'étudiants (hors doubles inscriptions licence- </w:t>
      </w:r>
      <w:r w:rsidRPr="007011C2">
        <w:rPr>
          <w:rStyle w:val="AcronymeHTML"/>
          <w:rFonts w:ascii="Times New Roman" w:hAnsi="Times New Roman" w:cs="Times New Roman"/>
          <w:sz w:val="24"/>
          <w:szCs w:val="24"/>
        </w:rPr>
        <w:t>C.P.G.E.</w:t>
      </w:r>
      <w:r w:rsidRPr="007011C2">
        <w:rPr>
          <w:rFonts w:ascii="Times New Roman" w:hAnsi="Times New Roman" w:cs="Times New Roman"/>
          <w:sz w:val="24"/>
          <w:szCs w:val="24"/>
        </w:rPr>
        <w:t>) et en 2027, 2,80 millions d'étudiants, soit respectivement 126 000 et 180 000 étudiants de plus qu'en 2017.</w:t>
      </w:r>
    </w:p>
    <w:p w14:paraId="580486A0" w14:textId="77777777" w:rsidR="00D94636" w:rsidRDefault="00D94636" w:rsidP="007011C2">
      <w:pPr>
        <w:tabs>
          <w:tab w:val="clear" w:pos="720"/>
          <w:tab w:val="clear" w:pos="5954"/>
        </w:tabs>
        <w:ind w:left="0"/>
        <w:jc w:val="both"/>
        <w:rPr>
          <w:rFonts w:ascii="Times New Roman" w:hAnsi="Times New Roman" w:cs="Times New Roman"/>
          <w:sz w:val="24"/>
          <w:szCs w:val="24"/>
        </w:rPr>
      </w:pPr>
    </w:p>
    <w:p w14:paraId="40AD90A6" w14:textId="32CAAEAD" w:rsidR="00D94636" w:rsidRDefault="00D94636" w:rsidP="007011C2">
      <w:pPr>
        <w:tabs>
          <w:tab w:val="clear" w:pos="720"/>
          <w:tab w:val="clear" w:pos="5954"/>
        </w:tabs>
        <w:ind w:left="0"/>
        <w:jc w:val="both"/>
        <w:rPr>
          <w:rFonts w:ascii="Times New Roman" w:hAnsi="Times New Roman" w:cs="Times New Roman"/>
          <w:sz w:val="24"/>
          <w:szCs w:val="24"/>
        </w:rPr>
      </w:pPr>
      <w:r>
        <w:rPr>
          <w:rFonts w:ascii="Times New Roman" w:hAnsi="Times New Roman" w:cs="Times New Roman"/>
          <w:sz w:val="24"/>
          <w:szCs w:val="24"/>
        </w:rPr>
        <w:t>Le tableau ci-après, extrait de cette note, permet de disposer de taux d’évolution nationaux par discipline et niveau sur les dix prochaines années.</w:t>
      </w:r>
    </w:p>
    <w:p w14:paraId="4E18F962" w14:textId="77777777" w:rsidR="00D94636" w:rsidRDefault="00D94636" w:rsidP="00CA103B">
      <w:pPr>
        <w:tabs>
          <w:tab w:val="clear" w:pos="720"/>
          <w:tab w:val="clear" w:pos="5954"/>
        </w:tabs>
        <w:ind w:left="0"/>
        <w:jc w:val="center"/>
        <w:rPr>
          <w:rFonts w:ascii="Times New Roman" w:eastAsia="Times New Roman" w:hAnsi="Times New Roman" w:cs="Times New Roman"/>
          <w:b/>
          <w:sz w:val="24"/>
          <w:szCs w:val="24"/>
        </w:rPr>
      </w:pPr>
    </w:p>
    <w:p w14:paraId="4674CA61" w14:textId="2D1807E8" w:rsidR="00BE66C7" w:rsidRDefault="00D94636" w:rsidP="00CA103B">
      <w:pPr>
        <w:tabs>
          <w:tab w:val="clear" w:pos="720"/>
          <w:tab w:val="clear" w:pos="5954"/>
        </w:tabs>
        <w:ind w:left="0"/>
        <w:jc w:val="center"/>
        <w:rPr>
          <w:rFonts w:ascii="Times New Roman" w:eastAsia="Times New Roman" w:hAnsi="Times New Roman" w:cs="Times New Roman"/>
          <w:b/>
          <w:sz w:val="24"/>
          <w:szCs w:val="24"/>
        </w:rPr>
      </w:pPr>
      <w:r w:rsidRPr="00D94636">
        <w:rPr>
          <w:noProof/>
        </w:rPr>
        <w:drawing>
          <wp:inline distT="0" distB="0" distL="0" distR="0" wp14:anchorId="17A1E208" wp14:editId="72A8FD26">
            <wp:extent cx="6645910" cy="5897248"/>
            <wp:effectExtent l="0" t="0" r="2540"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5897248"/>
                    </a:xfrm>
                    <a:prstGeom prst="rect">
                      <a:avLst/>
                    </a:prstGeom>
                    <a:noFill/>
                    <a:ln>
                      <a:noFill/>
                    </a:ln>
                  </pic:spPr>
                </pic:pic>
              </a:graphicData>
            </a:graphic>
          </wp:inline>
        </w:drawing>
      </w:r>
      <w:r w:rsidR="00BE66C7" w:rsidRPr="007011C2">
        <w:rPr>
          <w:rFonts w:ascii="Times New Roman" w:eastAsia="Times New Roman" w:hAnsi="Times New Roman" w:cs="Times New Roman"/>
          <w:b/>
          <w:sz w:val="24"/>
          <w:szCs w:val="24"/>
        </w:rPr>
        <w:br w:type="page"/>
      </w:r>
      <w:r w:rsidR="00BE66C7">
        <w:rPr>
          <w:rFonts w:ascii="Times New Roman" w:eastAsia="Times New Roman" w:hAnsi="Times New Roman" w:cs="Times New Roman"/>
          <w:b/>
          <w:sz w:val="24"/>
          <w:szCs w:val="24"/>
        </w:rPr>
        <w:t>ANNEXE 4</w:t>
      </w:r>
    </w:p>
    <w:p w14:paraId="0984D7E3" w14:textId="77777777" w:rsidR="00BE66C7" w:rsidRDefault="00BE66C7" w:rsidP="00B210CD">
      <w:pPr>
        <w:tabs>
          <w:tab w:val="clear" w:pos="720"/>
          <w:tab w:val="clear" w:pos="5954"/>
        </w:tabs>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Projections académiques d’effectifs d’étudiants mobilisables</w:t>
      </w:r>
    </w:p>
    <w:p w14:paraId="485AE17A" w14:textId="77777777" w:rsidR="00BE66C7" w:rsidRDefault="00BE66C7" w:rsidP="001D5863">
      <w:pPr>
        <w:tabs>
          <w:tab w:val="clear" w:pos="720"/>
          <w:tab w:val="clear" w:pos="5954"/>
        </w:tabs>
        <w:ind w:left="0"/>
        <w:rPr>
          <w:rFonts w:ascii="Times New Roman" w:eastAsia="Times New Roman" w:hAnsi="Times New Roman" w:cs="Times New Roman"/>
          <w:b/>
          <w:sz w:val="24"/>
          <w:szCs w:val="24"/>
        </w:rPr>
      </w:pPr>
    </w:p>
    <w:p w14:paraId="6188E022" w14:textId="77777777" w:rsidR="00B210CD" w:rsidRPr="00B210CD" w:rsidRDefault="00B210CD" w:rsidP="00B210CD">
      <w:pPr>
        <w:pStyle w:val="Titre4"/>
        <w:rPr>
          <w:rFonts w:ascii="Times New Roman" w:hAnsi="Times New Roman" w:cs="Times New Roman"/>
          <w:b w:val="0"/>
          <w:i w:val="0"/>
          <w:color w:val="auto"/>
          <w:sz w:val="24"/>
          <w:szCs w:val="24"/>
        </w:rPr>
      </w:pPr>
      <w:r w:rsidRPr="00B210CD">
        <w:rPr>
          <w:rFonts w:ascii="Times New Roman" w:hAnsi="Times New Roman" w:cs="Times New Roman"/>
          <w:b w:val="0"/>
          <w:i w:val="0"/>
          <w:color w:val="auto"/>
          <w:sz w:val="24"/>
          <w:szCs w:val="24"/>
        </w:rPr>
        <w:t>Un nouveau modèle de projections d’effectifs étudiants – Prevsup3 – est en cours de déploiement dans les académies.</w:t>
      </w:r>
    </w:p>
    <w:p w14:paraId="5B0B57E2" w14:textId="77777777" w:rsidR="00B210CD" w:rsidRPr="00B210CD" w:rsidRDefault="00B210CD" w:rsidP="00B210CD">
      <w:pPr>
        <w:pStyle w:val="Titre4"/>
        <w:rPr>
          <w:rFonts w:ascii="Times New Roman" w:hAnsi="Times New Roman" w:cs="Times New Roman"/>
          <w:b w:val="0"/>
          <w:bCs w:val="0"/>
          <w:i w:val="0"/>
          <w:color w:val="auto"/>
          <w:sz w:val="24"/>
          <w:szCs w:val="24"/>
        </w:rPr>
      </w:pPr>
      <w:r w:rsidRPr="00B210CD">
        <w:rPr>
          <w:rFonts w:ascii="Times New Roman" w:hAnsi="Times New Roman" w:cs="Times New Roman"/>
          <w:i w:val="0"/>
          <w:color w:val="auto"/>
          <w:sz w:val="24"/>
          <w:szCs w:val="24"/>
        </w:rPr>
        <w:t xml:space="preserve">Méthodologie </w:t>
      </w:r>
    </w:p>
    <w:p w14:paraId="5D3769A4" w14:textId="77777777" w:rsidR="00B210CD" w:rsidRPr="00B210CD" w:rsidRDefault="00B210CD" w:rsidP="00B210CD">
      <w:pPr>
        <w:pStyle w:val="Titre4"/>
        <w:jc w:val="both"/>
        <w:rPr>
          <w:rFonts w:ascii="Times New Roman" w:hAnsi="Times New Roman" w:cs="Times New Roman"/>
          <w:b w:val="0"/>
          <w:i w:val="0"/>
          <w:color w:val="auto"/>
          <w:sz w:val="24"/>
          <w:szCs w:val="24"/>
        </w:rPr>
      </w:pPr>
      <w:r w:rsidRPr="00B210CD">
        <w:rPr>
          <w:rFonts w:ascii="Times New Roman" w:hAnsi="Times New Roman" w:cs="Times New Roman"/>
          <w:b w:val="0"/>
          <w:i w:val="0"/>
          <w:color w:val="auto"/>
          <w:sz w:val="24"/>
          <w:szCs w:val="24"/>
        </w:rPr>
        <w:t>Les effectifs de l’enseignement supérieur dépendent, en grande partie, du flux d’entrée dans le supérieur après l’obtention du baccalauréat. Le modèle de projection des effectifs de l’enseignement supérieur s’appuie sur les prévisions d’effectifs de terminales réalisées par la Depp, déterminées principalement par les projections démographiques de l’Insee et des taux de redoublement dans le second degré.</w:t>
      </w:r>
    </w:p>
    <w:p w14:paraId="31DCB20A" w14:textId="77777777" w:rsidR="00B210CD" w:rsidRPr="00B210CD" w:rsidRDefault="00B210CD" w:rsidP="00B210CD">
      <w:pPr>
        <w:pStyle w:val="Titre4"/>
        <w:jc w:val="both"/>
        <w:rPr>
          <w:rFonts w:ascii="Times New Roman" w:hAnsi="Times New Roman" w:cs="Times New Roman"/>
          <w:b w:val="0"/>
          <w:i w:val="0"/>
          <w:color w:val="auto"/>
          <w:sz w:val="24"/>
          <w:szCs w:val="24"/>
        </w:rPr>
      </w:pPr>
      <w:r w:rsidRPr="00B210CD">
        <w:rPr>
          <w:rFonts w:ascii="Times New Roman" w:hAnsi="Times New Roman" w:cs="Times New Roman"/>
          <w:b w:val="0"/>
          <w:i w:val="0"/>
          <w:color w:val="auto"/>
          <w:sz w:val="24"/>
          <w:szCs w:val="24"/>
        </w:rPr>
        <w:t xml:space="preserve">Les effectifs de bacheliers sont estimés à partir de ces effectifs de terminales auxquels on applique une projection des taux de réussite au baccalauréat. Sont réalisés ensuite des projections sur les taux de poursuite par série du baccalauréat et filière de l’enseignement supérieur de ces bacheliers pour estimer le nombre de nouveaux bacheliers qui devraient entrer chaque année dans les différentes filières. On y ajoute les effectifs des entrants non nouveaux bacheliers (ceux des années antérieures et les étrangers sans les distinguer). On fait « vieillir » ces entrants sur la base de taux de passage, de redoublement et de réorientation. </w:t>
      </w:r>
    </w:p>
    <w:p w14:paraId="7AA6EDF7" w14:textId="77777777" w:rsidR="00B210CD" w:rsidRPr="00B210CD" w:rsidRDefault="00B210CD" w:rsidP="00B210CD">
      <w:pPr>
        <w:pStyle w:val="Retraitcorpsdetexte"/>
        <w:rPr>
          <w:rFonts w:ascii="Times New Roman" w:hAnsi="Times New Roman" w:cs="Times New Roman"/>
          <w:sz w:val="24"/>
          <w:szCs w:val="24"/>
        </w:rPr>
      </w:pPr>
      <w:r w:rsidRPr="00B210CD">
        <w:rPr>
          <w:rFonts w:ascii="Times New Roman" w:hAnsi="Times New Roman" w:cs="Times New Roman"/>
          <w:b/>
          <w:sz w:val="24"/>
          <w:szCs w:val="24"/>
        </w:rPr>
        <w:t xml:space="preserve">Les hypothèses sur les taux de poursuite, de passage, de redoublement et de réorientation sont donc centrales dans les scénarii de projections. </w:t>
      </w:r>
      <w:r w:rsidRPr="00B210CD">
        <w:rPr>
          <w:rFonts w:ascii="Times New Roman" w:hAnsi="Times New Roman" w:cs="Times New Roman"/>
          <w:sz w:val="24"/>
          <w:szCs w:val="24"/>
        </w:rPr>
        <w:t>Ces taux sont estimés pour les formations à l’université, en IUT, en STS, en CPGE (filières dites « traditionnelles » dans cette étude) par discipline et dans le nouveau modèle de projection mis en œuvre</w:t>
      </w:r>
      <w:r w:rsidRPr="00B210CD">
        <w:rPr>
          <w:rFonts w:ascii="Times New Roman" w:hAnsi="Times New Roman" w:cs="Times New Roman"/>
          <w:b/>
          <w:sz w:val="24"/>
          <w:szCs w:val="24"/>
        </w:rPr>
        <w:t xml:space="preserve"> pour la première fois cette année, les formations en  école d’ingénieurs non universitaires, en école de commerce, de gestion, de vente, dans les facultés privées et dans les grands établissements </w:t>
      </w:r>
      <w:r w:rsidRPr="00B210CD">
        <w:rPr>
          <w:rFonts w:ascii="Times New Roman" w:hAnsi="Times New Roman" w:cs="Times New Roman"/>
          <w:sz w:val="24"/>
          <w:szCs w:val="24"/>
        </w:rPr>
        <w:t>que sont Paris Dauphine, IEP Paris, EHESS, Écoles normales supérieures, École nationale supérieure des sciences de l’information et des bibliothèques, Inalco, Observatoire de Paris, École pratique des hautes études, Institut de physique du Globe et École nationale des chartes. Pour les autres écoles (artistiques et culturelles, d’architecture, de notariat, et les écoles paramédicales et sociales …), les projections sont réalisées à partir de l’observation de leurs effectifs totaux des années précédentes.</w:t>
      </w:r>
    </w:p>
    <w:p w14:paraId="71040FBE" w14:textId="77777777" w:rsidR="00B210CD" w:rsidRPr="00B210CD" w:rsidRDefault="00B210CD" w:rsidP="00B210CD">
      <w:pPr>
        <w:pStyle w:val="Retraitcorpsdetexte"/>
        <w:rPr>
          <w:rFonts w:ascii="Times New Roman" w:hAnsi="Times New Roman" w:cs="Times New Roman"/>
          <w:sz w:val="24"/>
          <w:szCs w:val="24"/>
        </w:rPr>
      </w:pPr>
      <w:r w:rsidRPr="00B210CD">
        <w:rPr>
          <w:rFonts w:ascii="Times New Roman" w:hAnsi="Times New Roman" w:cs="Times New Roman"/>
          <w:sz w:val="24"/>
          <w:szCs w:val="24"/>
        </w:rPr>
        <w:t>Le modèle permet de réaliser des projections au niveau national, académique et régional.</w:t>
      </w:r>
    </w:p>
    <w:p w14:paraId="43DCE555" w14:textId="77777777" w:rsidR="00B210CD" w:rsidRPr="00B210CD" w:rsidRDefault="00B210CD" w:rsidP="00B210CD">
      <w:pPr>
        <w:pStyle w:val="Retraitcorpsdetexte"/>
        <w:rPr>
          <w:rFonts w:ascii="Times New Roman" w:hAnsi="Times New Roman" w:cs="Times New Roman"/>
          <w:b/>
          <w:sz w:val="24"/>
          <w:szCs w:val="24"/>
        </w:rPr>
      </w:pPr>
    </w:p>
    <w:p w14:paraId="0C56CAB8" w14:textId="77777777" w:rsidR="00B210CD" w:rsidRPr="00B210CD" w:rsidRDefault="00B210CD" w:rsidP="00B210CD">
      <w:pPr>
        <w:pStyle w:val="Retraitcorpsdetexte"/>
        <w:rPr>
          <w:rFonts w:ascii="Times New Roman" w:hAnsi="Times New Roman" w:cs="Times New Roman"/>
          <w:b/>
          <w:sz w:val="24"/>
          <w:szCs w:val="24"/>
        </w:rPr>
      </w:pPr>
      <w:r w:rsidRPr="00B210CD">
        <w:rPr>
          <w:rFonts w:ascii="Times New Roman" w:hAnsi="Times New Roman" w:cs="Times New Roman"/>
          <w:b/>
          <w:sz w:val="24"/>
          <w:szCs w:val="24"/>
        </w:rPr>
        <w:t>Déploiement dans les rectorats</w:t>
      </w:r>
    </w:p>
    <w:p w14:paraId="78ABAA57" w14:textId="77777777" w:rsidR="00B210CD" w:rsidRPr="00B210CD" w:rsidRDefault="00B210CD" w:rsidP="00B210CD">
      <w:pPr>
        <w:pStyle w:val="Retraitcorpsdetexte"/>
        <w:rPr>
          <w:rFonts w:ascii="Times New Roman" w:hAnsi="Times New Roman" w:cs="Times New Roman"/>
          <w:sz w:val="24"/>
          <w:szCs w:val="24"/>
        </w:rPr>
      </w:pPr>
      <w:r w:rsidRPr="00B210CD">
        <w:rPr>
          <w:rFonts w:ascii="Times New Roman" w:hAnsi="Times New Roman" w:cs="Times New Roman"/>
          <w:sz w:val="24"/>
          <w:szCs w:val="24"/>
        </w:rPr>
        <w:t xml:space="preserve">Cet outil est mis à disposition des rectorats depuis l’été 2019. Des formations </w:t>
      </w:r>
      <w:r>
        <w:rPr>
          <w:rFonts w:ascii="Times New Roman" w:hAnsi="Times New Roman" w:cs="Times New Roman"/>
          <w:sz w:val="24"/>
          <w:szCs w:val="24"/>
        </w:rPr>
        <w:t>sont en cours jusqu’au printemps 2020 ; un</w:t>
      </w:r>
      <w:r w:rsidRPr="00B210CD">
        <w:rPr>
          <w:rFonts w:ascii="Times New Roman" w:hAnsi="Times New Roman" w:cs="Times New Roman"/>
          <w:sz w:val="24"/>
          <w:szCs w:val="24"/>
        </w:rPr>
        <w:t>e fois formé, les services statistiques des rectorats pourront construire leur propre scénario au niveau académique ou régional, avec leurs propres hypothèses.</w:t>
      </w:r>
    </w:p>
    <w:p w14:paraId="6CB2BFF7" w14:textId="77777777" w:rsidR="00B210CD" w:rsidRPr="00B210CD" w:rsidRDefault="00B210CD" w:rsidP="00B210CD">
      <w:pPr>
        <w:pStyle w:val="Retraitcorpsdetexte"/>
        <w:rPr>
          <w:rFonts w:ascii="Times New Roman" w:hAnsi="Times New Roman" w:cs="Times New Roman"/>
          <w:sz w:val="24"/>
          <w:szCs w:val="24"/>
        </w:rPr>
      </w:pPr>
      <w:r>
        <w:rPr>
          <w:rFonts w:ascii="Times New Roman" w:hAnsi="Times New Roman" w:cs="Times New Roman"/>
          <w:sz w:val="24"/>
          <w:szCs w:val="24"/>
        </w:rPr>
        <w:t>U</w:t>
      </w:r>
      <w:r w:rsidRPr="00B210CD">
        <w:rPr>
          <w:rFonts w:ascii="Times New Roman" w:hAnsi="Times New Roman" w:cs="Times New Roman"/>
          <w:sz w:val="24"/>
          <w:szCs w:val="24"/>
        </w:rPr>
        <w:t>ne fois les scénarios établis</w:t>
      </w:r>
      <w:r>
        <w:rPr>
          <w:rFonts w:ascii="Times New Roman" w:hAnsi="Times New Roman" w:cs="Times New Roman"/>
          <w:sz w:val="24"/>
          <w:szCs w:val="24"/>
        </w:rPr>
        <w:t>, ils pourront</w:t>
      </w:r>
      <w:r w:rsidRPr="00B210CD">
        <w:rPr>
          <w:rFonts w:ascii="Times New Roman" w:hAnsi="Times New Roman" w:cs="Times New Roman"/>
          <w:sz w:val="24"/>
          <w:szCs w:val="24"/>
        </w:rPr>
        <w:t xml:space="preserve"> répondre aux demandes de</w:t>
      </w:r>
      <w:r>
        <w:rPr>
          <w:rFonts w:ascii="Times New Roman" w:hAnsi="Times New Roman" w:cs="Times New Roman"/>
          <w:sz w:val="24"/>
          <w:szCs w:val="24"/>
        </w:rPr>
        <w:t>s</w:t>
      </w:r>
      <w:r w:rsidRPr="00B210CD">
        <w:rPr>
          <w:rFonts w:ascii="Times New Roman" w:hAnsi="Times New Roman" w:cs="Times New Roman"/>
          <w:sz w:val="24"/>
          <w:szCs w:val="24"/>
        </w:rPr>
        <w:t xml:space="preserve"> établissements</w:t>
      </w:r>
      <w:r>
        <w:rPr>
          <w:rFonts w:ascii="Times New Roman" w:hAnsi="Times New Roman" w:cs="Times New Roman"/>
          <w:sz w:val="24"/>
          <w:szCs w:val="24"/>
        </w:rPr>
        <w:t xml:space="preserve"> de leur académie</w:t>
      </w:r>
      <w:r w:rsidRPr="00B210CD">
        <w:rPr>
          <w:rFonts w:ascii="Times New Roman" w:hAnsi="Times New Roman" w:cs="Times New Roman"/>
          <w:sz w:val="24"/>
          <w:szCs w:val="24"/>
        </w:rPr>
        <w:t>.</w:t>
      </w:r>
    </w:p>
    <w:p w14:paraId="207B6A62" w14:textId="77777777" w:rsidR="00D60685" w:rsidRPr="00D04B41" w:rsidRDefault="00B210CD" w:rsidP="00B210CD">
      <w:pPr>
        <w:pStyle w:val="Retraitcorpsdetexte"/>
        <w:ind w:left="0"/>
        <w:rPr>
          <w:rFonts w:ascii="Times New Roman" w:hAnsi="Times New Roman" w:cs="Times New Roman"/>
          <w:sz w:val="24"/>
          <w:szCs w:val="24"/>
        </w:rPr>
      </w:pPr>
      <w:r>
        <w:rPr>
          <w:rFonts w:ascii="Times New Roman" w:hAnsi="Times New Roman" w:cs="Times New Roman"/>
          <w:sz w:val="24"/>
          <w:szCs w:val="24"/>
        </w:rPr>
        <w:tab/>
      </w:r>
    </w:p>
    <w:p w14:paraId="39ACEA9F" w14:textId="77777777" w:rsidR="00F6037C" w:rsidRPr="00D04B41" w:rsidRDefault="00F6037C" w:rsidP="001D5863">
      <w:pPr>
        <w:tabs>
          <w:tab w:val="clear" w:pos="720"/>
          <w:tab w:val="clear" w:pos="5954"/>
        </w:tabs>
        <w:ind w:left="0"/>
        <w:rPr>
          <w:rFonts w:ascii="Times New Roman" w:eastAsia="Times New Roman" w:hAnsi="Times New Roman" w:cs="Times New Roman"/>
          <w:sz w:val="24"/>
          <w:szCs w:val="24"/>
        </w:rPr>
      </w:pPr>
    </w:p>
    <w:sectPr w:rsidR="00F6037C" w:rsidRPr="00D04B41" w:rsidSect="00733CD9">
      <w:footerReference w:type="default" r:id="rId11"/>
      <w:headerReference w:type="first" r:id="rId12"/>
      <w:footerReference w:type="first" r:id="rId13"/>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7F29E" w14:textId="77777777" w:rsidR="00BA5211" w:rsidRDefault="00BA5211" w:rsidP="00A87BB1">
      <w:r>
        <w:separator/>
      </w:r>
    </w:p>
  </w:endnote>
  <w:endnote w:type="continuationSeparator" w:id="0">
    <w:p w14:paraId="3A4CB0DF" w14:textId="77777777" w:rsidR="00BA5211" w:rsidRDefault="00BA5211" w:rsidP="00A87BB1">
      <w:r>
        <w:continuationSeparator/>
      </w:r>
    </w:p>
  </w:endnote>
  <w:endnote w:type="continuationNotice" w:id="1">
    <w:p w14:paraId="0E8D919C" w14:textId="77777777" w:rsidR="00BA5211" w:rsidRDefault="00BA5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tilliumText22L Bold">
    <w:altName w:val="Times New Roman"/>
    <w:charset w:val="00"/>
    <w:family w:val="auto"/>
    <w:pitch w:val="variable"/>
    <w:sig w:usb0="A00000EF" w:usb1="0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1B85E" w14:textId="7AA76958" w:rsidR="00733CD9" w:rsidRPr="00CC7B45" w:rsidRDefault="00CC7B45" w:rsidP="00CC7B45">
    <w:pPr>
      <w:pStyle w:val="Pieddepage"/>
      <w:ind w:left="-284" w:right="142"/>
      <w:jc w:val="center"/>
      <w:rPr>
        <w:rFonts w:ascii="Verdana" w:hAnsi="Verdana"/>
        <w:sz w:val="14"/>
        <w:szCs w:val="14"/>
      </w:rPr>
    </w:pPr>
    <w:r w:rsidRPr="00B577A6">
      <w:rPr>
        <w:rFonts w:ascii="Verdana" w:hAnsi="Verdana"/>
        <w:b/>
        <w:sz w:val="14"/>
        <w:szCs w:val="14"/>
      </w:rPr>
      <w:t xml:space="preserve">Page </w:t>
    </w:r>
    <w:r w:rsidRPr="00B577A6">
      <w:rPr>
        <w:rFonts w:ascii="Verdana" w:hAnsi="Verdana"/>
        <w:b/>
        <w:bCs/>
        <w:sz w:val="14"/>
        <w:szCs w:val="14"/>
      </w:rPr>
      <w:fldChar w:fldCharType="begin"/>
    </w:r>
    <w:r w:rsidRPr="00B577A6">
      <w:rPr>
        <w:rFonts w:ascii="Verdana" w:hAnsi="Verdana"/>
        <w:b/>
        <w:bCs/>
        <w:sz w:val="14"/>
        <w:szCs w:val="14"/>
      </w:rPr>
      <w:instrText>PAGE  \* Arabic  \* MERGEFORMAT</w:instrText>
    </w:r>
    <w:r w:rsidRPr="00B577A6">
      <w:rPr>
        <w:rFonts w:ascii="Verdana" w:hAnsi="Verdana"/>
        <w:b/>
        <w:bCs/>
        <w:sz w:val="14"/>
        <w:szCs w:val="14"/>
      </w:rPr>
      <w:fldChar w:fldCharType="separate"/>
    </w:r>
    <w:r w:rsidR="00FF5218">
      <w:rPr>
        <w:rFonts w:ascii="Verdana" w:hAnsi="Verdana"/>
        <w:b/>
        <w:bCs/>
        <w:noProof/>
        <w:sz w:val="14"/>
        <w:szCs w:val="14"/>
      </w:rPr>
      <w:t>3</w:t>
    </w:r>
    <w:r w:rsidRPr="00B577A6">
      <w:rPr>
        <w:rFonts w:ascii="Verdana" w:hAnsi="Verdana"/>
        <w:b/>
        <w:bCs/>
        <w:sz w:val="14"/>
        <w:szCs w:val="14"/>
      </w:rPr>
      <w:fldChar w:fldCharType="end"/>
    </w:r>
    <w:r w:rsidRPr="00B577A6">
      <w:rPr>
        <w:rFonts w:ascii="Verdana" w:hAnsi="Verdana"/>
        <w:b/>
        <w:sz w:val="14"/>
        <w:szCs w:val="14"/>
      </w:rPr>
      <w:t xml:space="preserve"> sur </w:t>
    </w:r>
    <w:r w:rsidRPr="00B577A6">
      <w:rPr>
        <w:rFonts w:ascii="Verdana" w:hAnsi="Verdana"/>
        <w:b/>
        <w:bCs/>
        <w:sz w:val="14"/>
        <w:szCs w:val="14"/>
      </w:rPr>
      <w:fldChar w:fldCharType="begin"/>
    </w:r>
    <w:r w:rsidRPr="00B577A6">
      <w:rPr>
        <w:rFonts w:ascii="Verdana" w:hAnsi="Verdana"/>
        <w:b/>
        <w:bCs/>
        <w:sz w:val="14"/>
        <w:szCs w:val="14"/>
      </w:rPr>
      <w:instrText>NUMPAGES  \* Arabic  \* MERGEFORMAT</w:instrText>
    </w:r>
    <w:r w:rsidRPr="00B577A6">
      <w:rPr>
        <w:rFonts w:ascii="Verdana" w:hAnsi="Verdana"/>
        <w:b/>
        <w:bCs/>
        <w:sz w:val="14"/>
        <w:szCs w:val="14"/>
      </w:rPr>
      <w:fldChar w:fldCharType="separate"/>
    </w:r>
    <w:r w:rsidR="00FF5218">
      <w:rPr>
        <w:rFonts w:ascii="Verdana" w:hAnsi="Verdana"/>
        <w:b/>
        <w:bCs/>
        <w:noProof/>
        <w:sz w:val="14"/>
        <w:szCs w:val="14"/>
      </w:rPr>
      <w:t>3</w:t>
    </w:r>
    <w:r w:rsidRPr="00B577A6">
      <w:rPr>
        <w:rFonts w:ascii="Verdana" w:hAnsi="Verdana"/>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8206E" w14:textId="5BE30AA6" w:rsidR="00B577A6" w:rsidRPr="004C79A1" w:rsidRDefault="00B577A6" w:rsidP="00F75EB6">
    <w:pPr>
      <w:pStyle w:val="Pieddepage"/>
      <w:ind w:left="-284" w:right="142"/>
      <w:jc w:val="center"/>
      <w:rPr>
        <w:rFonts w:ascii="Verdana" w:hAnsi="Verdana"/>
        <w:sz w:val="14"/>
        <w:szCs w:val="14"/>
      </w:rPr>
    </w:pPr>
    <w:r w:rsidRPr="00B577A6">
      <w:rPr>
        <w:rFonts w:ascii="Verdana" w:hAnsi="Verdana"/>
        <w:b/>
        <w:sz w:val="14"/>
        <w:szCs w:val="14"/>
      </w:rPr>
      <w:t xml:space="preserve">Page </w:t>
    </w:r>
    <w:r w:rsidRPr="00B577A6">
      <w:rPr>
        <w:rFonts w:ascii="Verdana" w:hAnsi="Verdana"/>
        <w:b/>
        <w:bCs/>
        <w:sz w:val="14"/>
        <w:szCs w:val="14"/>
      </w:rPr>
      <w:fldChar w:fldCharType="begin"/>
    </w:r>
    <w:r w:rsidRPr="00B577A6">
      <w:rPr>
        <w:rFonts w:ascii="Verdana" w:hAnsi="Verdana"/>
        <w:b/>
        <w:bCs/>
        <w:sz w:val="14"/>
        <w:szCs w:val="14"/>
      </w:rPr>
      <w:instrText>PAGE  \* Arabic  \* MERGEFORMAT</w:instrText>
    </w:r>
    <w:r w:rsidRPr="00B577A6">
      <w:rPr>
        <w:rFonts w:ascii="Verdana" w:hAnsi="Verdana"/>
        <w:b/>
        <w:bCs/>
        <w:sz w:val="14"/>
        <w:szCs w:val="14"/>
      </w:rPr>
      <w:fldChar w:fldCharType="separate"/>
    </w:r>
    <w:r w:rsidR="00FF5218">
      <w:rPr>
        <w:rFonts w:ascii="Verdana" w:hAnsi="Verdana"/>
        <w:b/>
        <w:bCs/>
        <w:noProof/>
        <w:sz w:val="14"/>
        <w:szCs w:val="14"/>
      </w:rPr>
      <w:t>1</w:t>
    </w:r>
    <w:r w:rsidRPr="00B577A6">
      <w:rPr>
        <w:rFonts w:ascii="Verdana" w:hAnsi="Verdana"/>
        <w:b/>
        <w:bCs/>
        <w:sz w:val="14"/>
        <w:szCs w:val="14"/>
      </w:rPr>
      <w:fldChar w:fldCharType="end"/>
    </w:r>
    <w:r w:rsidRPr="00B577A6">
      <w:rPr>
        <w:rFonts w:ascii="Verdana" w:hAnsi="Verdana"/>
        <w:b/>
        <w:sz w:val="14"/>
        <w:szCs w:val="14"/>
      </w:rPr>
      <w:t xml:space="preserve"> sur </w:t>
    </w:r>
    <w:r w:rsidRPr="00B577A6">
      <w:rPr>
        <w:rFonts w:ascii="Verdana" w:hAnsi="Verdana"/>
        <w:b/>
        <w:bCs/>
        <w:sz w:val="14"/>
        <w:szCs w:val="14"/>
      </w:rPr>
      <w:fldChar w:fldCharType="begin"/>
    </w:r>
    <w:r w:rsidRPr="00B577A6">
      <w:rPr>
        <w:rFonts w:ascii="Verdana" w:hAnsi="Verdana"/>
        <w:b/>
        <w:bCs/>
        <w:sz w:val="14"/>
        <w:szCs w:val="14"/>
      </w:rPr>
      <w:instrText>NUMPAGES  \* Arabic  \* MERGEFORMAT</w:instrText>
    </w:r>
    <w:r w:rsidRPr="00B577A6">
      <w:rPr>
        <w:rFonts w:ascii="Verdana" w:hAnsi="Verdana"/>
        <w:b/>
        <w:bCs/>
        <w:sz w:val="14"/>
        <w:szCs w:val="14"/>
      </w:rPr>
      <w:fldChar w:fldCharType="separate"/>
    </w:r>
    <w:r w:rsidR="00FF5218">
      <w:rPr>
        <w:rFonts w:ascii="Verdana" w:hAnsi="Verdana"/>
        <w:b/>
        <w:bCs/>
        <w:noProof/>
        <w:sz w:val="14"/>
        <w:szCs w:val="14"/>
      </w:rPr>
      <w:t>3</w:t>
    </w:r>
    <w:r w:rsidRPr="00B577A6">
      <w:rPr>
        <w:rFonts w:ascii="Verdana" w:hAnsi="Verdana"/>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0533" w14:textId="77777777" w:rsidR="00BA5211" w:rsidRDefault="00BA5211" w:rsidP="00A87BB1">
      <w:r>
        <w:separator/>
      </w:r>
    </w:p>
  </w:footnote>
  <w:footnote w:type="continuationSeparator" w:id="0">
    <w:p w14:paraId="562A1F5D" w14:textId="77777777" w:rsidR="00BA5211" w:rsidRDefault="00BA5211" w:rsidP="00A87BB1">
      <w:r>
        <w:continuationSeparator/>
      </w:r>
    </w:p>
  </w:footnote>
  <w:footnote w:type="continuationNotice" w:id="1">
    <w:p w14:paraId="4E382CF8" w14:textId="77777777" w:rsidR="00BA5211" w:rsidRDefault="00BA52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83FF" w14:textId="77777777" w:rsidR="00D60B8B" w:rsidRDefault="00D60B8B">
    <w:pPr>
      <w:pStyle w:val="En-tte"/>
    </w:pPr>
  </w:p>
  <w:p w14:paraId="3DA4A155" w14:textId="77777777" w:rsidR="00D60B8B" w:rsidRDefault="00D60B8B">
    <w:pPr>
      <w:pStyle w:val="En-tte"/>
    </w:pPr>
  </w:p>
  <w:p w14:paraId="6FCE0F98" w14:textId="77777777" w:rsidR="00F86006" w:rsidRPr="00EE282C" w:rsidRDefault="00F86006" w:rsidP="00EE282C">
    <w:pPr>
      <w:pStyle w:val="En-tte"/>
      <w:tabs>
        <w:tab w:val="clear" w:pos="5954"/>
        <w:tab w:val="left" w:pos="4820"/>
      </w:tabs>
      <w:ind w:left="0"/>
      <w:rPr>
        <w:rFonts w:ascii="TitilliumText22L Bold" w:hAnsi="TitilliumText22L Bol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75D"/>
    <w:multiLevelType w:val="multilevel"/>
    <w:tmpl w:val="8F94B5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5566702"/>
    <w:multiLevelType w:val="hybridMultilevel"/>
    <w:tmpl w:val="66C4D15A"/>
    <w:lvl w:ilvl="0" w:tplc="B060CB9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096811B4"/>
    <w:multiLevelType w:val="hybridMultilevel"/>
    <w:tmpl w:val="C17686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E6CC5"/>
    <w:multiLevelType w:val="hybridMultilevel"/>
    <w:tmpl w:val="FF481BEE"/>
    <w:lvl w:ilvl="0" w:tplc="DD98A07A">
      <w:start w:val="1"/>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2A84450D"/>
    <w:multiLevelType w:val="hybridMultilevel"/>
    <w:tmpl w:val="4EA0DD7E"/>
    <w:lvl w:ilvl="0" w:tplc="BBDA3344">
      <w:start w:val="1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AA1C6DBA">
      <w:start w:val="3"/>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D51596"/>
    <w:multiLevelType w:val="hybridMultilevel"/>
    <w:tmpl w:val="EF4AAA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A03A9E"/>
    <w:multiLevelType w:val="hybridMultilevel"/>
    <w:tmpl w:val="A4ACE44A"/>
    <w:lvl w:ilvl="0" w:tplc="ADC83C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182B93"/>
    <w:multiLevelType w:val="hybridMultilevel"/>
    <w:tmpl w:val="BD8C5B2A"/>
    <w:lvl w:ilvl="0" w:tplc="E9863706">
      <w:start w:val="1"/>
      <w:numFmt w:val="bullet"/>
      <w:lvlText w:val=""/>
      <w:lvlJc w:val="left"/>
      <w:pPr>
        <w:tabs>
          <w:tab w:val="num" w:pos="720"/>
        </w:tabs>
        <w:ind w:left="720" w:hanging="360"/>
      </w:pPr>
      <w:rPr>
        <w:rFonts w:ascii="Wingdings" w:hAnsi="Wingdings" w:hint="default"/>
      </w:rPr>
    </w:lvl>
    <w:lvl w:ilvl="1" w:tplc="5BA2E9DC">
      <w:start w:val="1"/>
      <w:numFmt w:val="bullet"/>
      <w:lvlText w:val=""/>
      <w:lvlJc w:val="left"/>
      <w:pPr>
        <w:tabs>
          <w:tab w:val="num" w:pos="1440"/>
        </w:tabs>
        <w:ind w:left="1440" w:hanging="360"/>
      </w:pPr>
      <w:rPr>
        <w:rFonts w:ascii="Wingdings" w:hAnsi="Wingdings" w:hint="default"/>
      </w:rPr>
    </w:lvl>
    <w:lvl w:ilvl="2" w:tplc="E44CCAD8">
      <w:numFmt w:val="bullet"/>
      <w:lvlText w:val=""/>
      <w:lvlJc w:val="left"/>
      <w:pPr>
        <w:ind w:left="2160" w:hanging="360"/>
      </w:pPr>
      <w:rPr>
        <w:rFonts w:ascii="Wingdings" w:eastAsiaTheme="minorEastAsia" w:hAnsi="Wingdings" w:cstheme="minorBidi" w:hint="default"/>
      </w:rPr>
    </w:lvl>
    <w:lvl w:ilvl="3" w:tplc="2C644204">
      <w:start w:val="1"/>
      <w:numFmt w:val="bullet"/>
      <w:lvlText w:val=""/>
      <w:lvlJc w:val="left"/>
      <w:pPr>
        <w:tabs>
          <w:tab w:val="num" w:pos="2880"/>
        </w:tabs>
        <w:ind w:left="2880" w:hanging="360"/>
      </w:pPr>
      <w:rPr>
        <w:rFonts w:ascii="Wingdings" w:hAnsi="Wingdings" w:hint="default"/>
      </w:rPr>
    </w:lvl>
    <w:lvl w:ilvl="4" w:tplc="0006349E" w:tentative="1">
      <w:start w:val="1"/>
      <w:numFmt w:val="bullet"/>
      <w:lvlText w:val=""/>
      <w:lvlJc w:val="left"/>
      <w:pPr>
        <w:tabs>
          <w:tab w:val="num" w:pos="3600"/>
        </w:tabs>
        <w:ind w:left="3600" w:hanging="360"/>
      </w:pPr>
      <w:rPr>
        <w:rFonts w:ascii="Wingdings" w:hAnsi="Wingdings" w:hint="default"/>
      </w:rPr>
    </w:lvl>
    <w:lvl w:ilvl="5" w:tplc="18200C18" w:tentative="1">
      <w:start w:val="1"/>
      <w:numFmt w:val="bullet"/>
      <w:lvlText w:val=""/>
      <w:lvlJc w:val="left"/>
      <w:pPr>
        <w:tabs>
          <w:tab w:val="num" w:pos="4320"/>
        </w:tabs>
        <w:ind w:left="4320" w:hanging="360"/>
      </w:pPr>
      <w:rPr>
        <w:rFonts w:ascii="Wingdings" w:hAnsi="Wingdings" w:hint="default"/>
      </w:rPr>
    </w:lvl>
    <w:lvl w:ilvl="6" w:tplc="7132E8F2" w:tentative="1">
      <w:start w:val="1"/>
      <w:numFmt w:val="bullet"/>
      <w:lvlText w:val=""/>
      <w:lvlJc w:val="left"/>
      <w:pPr>
        <w:tabs>
          <w:tab w:val="num" w:pos="5040"/>
        </w:tabs>
        <w:ind w:left="5040" w:hanging="360"/>
      </w:pPr>
      <w:rPr>
        <w:rFonts w:ascii="Wingdings" w:hAnsi="Wingdings" w:hint="default"/>
      </w:rPr>
    </w:lvl>
    <w:lvl w:ilvl="7" w:tplc="3D929916" w:tentative="1">
      <w:start w:val="1"/>
      <w:numFmt w:val="bullet"/>
      <w:lvlText w:val=""/>
      <w:lvlJc w:val="left"/>
      <w:pPr>
        <w:tabs>
          <w:tab w:val="num" w:pos="5760"/>
        </w:tabs>
        <w:ind w:left="5760" w:hanging="360"/>
      </w:pPr>
      <w:rPr>
        <w:rFonts w:ascii="Wingdings" w:hAnsi="Wingdings" w:hint="default"/>
      </w:rPr>
    </w:lvl>
    <w:lvl w:ilvl="8" w:tplc="804449C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7674A2"/>
    <w:multiLevelType w:val="hybridMultilevel"/>
    <w:tmpl w:val="EBA49132"/>
    <w:lvl w:ilvl="0" w:tplc="3D0E929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5D386CF9"/>
    <w:multiLevelType w:val="hybridMultilevel"/>
    <w:tmpl w:val="7C7661E8"/>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0" w15:restartNumberingAfterBreak="0">
    <w:nsid w:val="5EB926DF"/>
    <w:multiLevelType w:val="hybridMultilevel"/>
    <w:tmpl w:val="6510A3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C89682E"/>
    <w:multiLevelType w:val="hybridMultilevel"/>
    <w:tmpl w:val="1902A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C348DA"/>
    <w:multiLevelType w:val="hybridMultilevel"/>
    <w:tmpl w:val="3B76A55C"/>
    <w:lvl w:ilvl="0" w:tplc="69F2F26A">
      <w:start w:val="1"/>
      <w:numFmt w:val="bullet"/>
      <w:lvlText w:val="-"/>
      <w:lvlJc w:val="left"/>
      <w:pPr>
        <w:tabs>
          <w:tab w:val="num" w:pos="720"/>
        </w:tabs>
        <w:ind w:left="720" w:hanging="360"/>
      </w:pPr>
      <w:rPr>
        <w:rFonts w:ascii="Times New Roman" w:hAnsi="Times New Roman" w:hint="default"/>
      </w:rPr>
    </w:lvl>
    <w:lvl w:ilvl="1" w:tplc="5480407E">
      <w:start w:val="990"/>
      <w:numFmt w:val="bullet"/>
      <w:lvlText w:val=""/>
      <w:lvlJc w:val="left"/>
      <w:pPr>
        <w:tabs>
          <w:tab w:val="num" w:pos="1440"/>
        </w:tabs>
        <w:ind w:left="1440" w:hanging="360"/>
      </w:pPr>
      <w:rPr>
        <w:rFonts w:ascii="Wingdings" w:hAnsi="Wingdings" w:hint="default"/>
      </w:rPr>
    </w:lvl>
    <w:lvl w:ilvl="2" w:tplc="6B4A63E4" w:tentative="1">
      <w:start w:val="1"/>
      <w:numFmt w:val="bullet"/>
      <w:lvlText w:val="-"/>
      <w:lvlJc w:val="left"/>
      <w:pPr>
        <w:tabs>
          <w:tab w:val="num" w:pos="2160"/>
        </w:tabs>
        <w:ind w:left="2160" w:hanging="360"/>
      </w:pPr>
      <w:rPr>
        <w:rFonts w:ascii="Times New Roman" w:hAnsi="Times New Roman" w:hint="default"/>
      </w:rPr>
    </w:lvl>
    <w:lvl w:ilvl="3" w:tplc="9B94E250" w:tentative="1">
      <w:start w:val="1"/>
      <w:numFmt w:val="bullet"/>
      <w:lvlText w:val="-"/>
      <w:lvlJc w:val="left"/>
      <w:pPr>
        <w:tabs>
          <w:tab w:val="num" w:pos="2880"/>
        </w:tabs>
        <w:ind w:left="2880" w:hanging="360"/>
      </w:pPr>
      <w:rPr>
        <w:rFonts w:ascii="Times New Roman" w:hAnsi="Times New Roman" w:hint="default"/>
      </w:rPr>
    </w:lvl>
    <w:lvl w:ilvl="4" w:tplc="C24ED420" w:tentative="1">
      <w:start w:val="1"/>
      <w:numFmt w:val="bullet"/>
      <w:lvlText w:val="-"/>
      <w:lvlJc w:val="left"/>
      <w:pPr>
        <w:tabs>
          <w:tab w:val="num" w:pos="3600"/>
        </w:tabs>
        <w:ind w:left="3600" w:hanging="360"/>
      </w:pPr>
      <w:rPr>
        <w:rFonts w:ascii="Times New Roman" w:hAnsi="Times New Roman" w:hint="default"/>
      </w:rPr>
    </w:lvl>
    <w:lvl w:ilvl="5" w:tplc="7D86E40E" w:tentative="1">
      <w:start w:val="1"/>
      <w:numFmt w:val="bullet"/>
      <w:lvlText w:val="-"/>
      <w:lvlJc w:val="left"/>
      <w:pPr>
        <w:tabs>
          <w:tab w:val="num" w:pos="4320"/>
        </w:tabs>
        <w:ind w:left="4320" w:hanging="360"/>
      </w:pPr>
      <w:rPr>
        <w:rFonts w:ascii="Times New Roman" w:hAnsi="Times New Roman" w:hint="default"/>
      </w:rPr>
    </w:lvl>
    <w:lvl w:ilvl="6" w:tplc="6F1C0672" w:tentative="1">
      <w:start w:val="1"/>
      <w:numFmt w:val="bullet"/>
      <w:lvlText w:val="-"/>
      <w:lvlJc w:val="left"/>
      <w:pPr>
        <w:tabs>
          <w:tab w:val="num" w:pos="5040"/>
        </w:tabs>
        <w:ind w:left="5040" w:hanging="360"/>
      </w:pPr>
      <w:rPr>
        <w:rFonts w:ascii="Times New Roman" w:hAnsi="Times New Roman" w:hint="default"/>
      </w:rPr>
    </w:lvl>
    <w:lvl w:ilvl="7" w:tplc="92649E56" w:tentative="1">
      <w:start w:val="1"/>
      <w:numFmt w:val="bullet"/>
      <w:lvlText w:val="-"/>
      <w:lvlJc w:val="left"/>
      <w:pPr>
        <w:tabs>
          <w:tab w:val="num" w:pos="5760"/>
        </w:tabs>
        <w:ind w:left="5760" w:hanging="360"/>
      </w:pPr>
      <w:rPr>
        <w:rFonts w:ascii="Times New Roman" w:hAnsi="Times New Roman" w:hint="default"/>
      </w:rPr>
    </w:lvl>
    <w:lvl w:ilvl="8" w:tplc="DCA649C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5"/>
  </w:num>
  <w:num w:numId="3">
    <w:abstractNumId w:val="10"/>
  </w:num>
  <w:num w:numId="4">
    <w:abstractNumId w:val="2"/>
  </w:num>
  <w:num w:numId="5">
    <w:abstractNumId w:val="11"/>
  </w:num>
  <w:num w:numId="6">
    <w:abstractNumId w:val="4"/>
  </w:num>
  <w:num w:numId="7">
    <w:abstractNumId w:val="8"/>
  </w:num>
  <w:num w:numId="8">
    <w:abstractNumId w:val="12"/>
  </w:num>
  <w:num w:numId="9">
    <w:abstractNumId w:val="3"/>
  </w:num>
  <w:num w:numId="10">
    <w:abstractNumId w:val="6"/>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C8"/>
    <w:rsid w:val="00000CF8"/>
    <w:rsid w:val="000106A2"/>
    <w:rsid w:val="00014C04"/>
    <w:rsid w:val="00015FFC"/>
    <w:rsid w:val="0003626F"/>
    <w:rsid w:val="00041450"/>
    <w:rsid w:val="00043146"/>
    <w:rsid w:val="0004319E"/>
    <w:rsid w:val="000576AF"/>
    <w:rsid w:val="00080F26"/>
    <w:rsid w:val="00090255"/>
    <w:rsid w:val="000A4679"/>
    <w:rsid w:val="000C1776"/>
    <w:rsid w:val="000C3E24"/>
    <w:rsid w:val="000C3F36"/>
    <w:rsid w:val="00101399"/>
    <w:rsid w:val="001070C7"/>
    <w:rsid w:val="001176F1"/>
    <w:rsid w:val="00122A99"/>
    <w:rsid w:val="0012433F"/>
    <w:rsid w:val="0012473D"/>
    <w:rsid w:val="00130FC6"/>
    <w:rsid w:val="001361EC"/>
    <w:rsid w:val="00136F28"/>
    <w:rsid w:val="0013735E"/>
    <w:rsid w:val="001460DA"/>
    <w:rsid w:val="00153505"/>
    <w:rsid w:val="00153934"/>
    <w:rsid w:val="0016348F"/>
    <w:rsid w:val="00163EBF"/>
    <w:rsid w:val="0016414B"/>
    <w:rsid w:val="00172029"/>
    <w:rsid w:val="00172D44"/>
    <w:rsid w:val="0017449D"/>
    <w:rsid w:val="001A02C9"/>
    <w:rsid w:val="001A0B0E"/>
    <w:rsid w:val="001A14C7"/>
    <w:rsid w:val="001B07D1"/>
    <w:rsid w:val="001B6FEA"/>
    <w:rsid w:val="001B7328"/>
    <w:rsid w:val="001C6B74"/>
    <w:rsid w:val="001D03BB"/>
    <w:rsid w:val="001D1E37"/>
    <w:rsid w:val="001D5863"/>
    <w:rsid w:val="001E039F"/>
    <w:rsid w:val="001E187B"/>
    <w:rsid w:val="001E4004"/>
    <w:rsid w:val="001E7BF1"/>
    <w:rsid w:val="00202AD6"/>
    <w:rsid w:val="002066D5"/>
    <w:rsid w:val="002073E6"/>
    <w:rsid w:val="00220CFE"/>
    <w:rsid w:val="002247CA"/>
    <w:rsid w:val="00232689"/>
    <w:rsid w:val="00234187"/>
    <w:rsid w:val="00234955"/>
    <w:rsid w:val="00234F43"/>
    <w:rsid w:val="00263522"/>
    <w:rsid w:val="002711D3"/>
    <w:rsid w:val="0028653A"/>
    <w:rsid w:val="002875E5"/>
    <w:rsid w:val="00294750"/>
    <w:rsid w:val="002A5000"/>
    <w:rsid w:val="002A56BF"/>
    <w:rsid w:val="002B1D74"/>
    <w:rsid w:val="002D1453"/>
    <w:rsid w:val="002D63EA"/>
    <w:rsid w:val="002F4797"/>
    <w:rsid w:val="003039F0"/>
    <w:rsid w:val="003071F1"/>
    <w:rsid w:val="00323797"/>
    <w:rsid w:val="00342D54"/>
    <w:rsid w:val="00354E91"/>
    <w:rsid w:val="003553DB"/>
    <w:rsid w:val="00371A25"/>
    <w:rsid w:val="00373760"/>
    <w:rsid w:val="00373CDA"/>
    <w:rsid w:val="00374E10"/>
    <w:rsid w:val="00381C70"/>
    <w:rsid w:val="00381FF7"/>
    <w:rsid w:val="003910C8"/>
    <w:rsid w:val="003914B9"/>
    <w:rsid w:val="00397C6F"/>
    <w:rsid w:val="003B3848"/>
    <w:rsid w:val="003B6CCE"/>
    <w:rsid w:val="003B7029"/>
    <w:rsid w:val="003B7A96"/>
    <w:rsid w:val="003C2E80"/>
    <w:rsid w:val="003C764C"/>
    <w:rsid w:val="003D4F84"/>
    <w:rsid w:val="003E51AE"/>
    <w:rsid w:val="003E7C70"/>
    <w:rsid w:val="003F1DB9"/>
    <w:rsid w:val="003F731D"/>
    <w:rsid w:val="00400A37"/>
    <w:rsid w:val="0040408C"/>
    <w:rsid w:val="004108C1"/>
    <w:rsid w:val="00420290"/>
    <w:rsid w:val="004246FA"/>
    <w:rsid w:val="00426FC9"/>
    <w:rsid w:val="004579F9"/>
    <w:rsid w:val="0046789C"/>
    <w:rsid w:val="00487B41"/>
    <w:rsid w:val="00495436"/>
    <w:rsid w:val="004B2B88"/>
    <w:rsid w:val="004C266F"/>
    <w:rsid w:val="004C79A1"/>
    <w:rsid w:val="004D2590"/>
    <w:rsid w:val="004F01BC"/>
    <w:rsid w:val="00503613"/>
    <w:rsid w:val="005062D5"/>
    <w:rsid w:val="005155CE"/>
    <w:rsid w:val="00517C2E"/>
    <w:rsid w:val="00522A01"/>
    <w:rsid w:val="00551024"/>
    <w:rsid w:val="00551BAE"/>
    <w:rsid w:val="0056473A"/>
    <w:rsid w:val="00571CBF"/>
    <w:rsid w:val="005804BB"/>
    <w:rsid w:val="00585CCE"/>
    <w:rsid w:val="005A1A74"/>
    <w:rsid w:val="005A4284"/>
    <w:rsid w:val="005A655E"/>
    <w:rsid w:val="005B75A7"/>
    <w:rsid w:val="005C0000"/>
    <w:rsid w:val="005F06F8"/>
    <w:rsid w:val="005F5331"/>
    <w:rsid w:val="006012A8"/>
    <w:rsid w:val="00633C38"/>
    <w:rsid w:val="0063529C"/>
    <w:rsid w:val="0064260F"/>
    <w:rsid w:val="006439D0"/>
    <w:rsid w:val="00656421"/>
    <w:rsid w:val="006709A5"/>
    <w:rsid w:val="00683B31"/>
    <w:rsid w:val="006958C7"/>
    <w:rsid w:val="00697DF8"/>
    <w:rsid w:val="006A55E7"/>
    <w:rsid w:val="006B2234"/>
    <w:rsid w:val="006C25C4"/>
    <w:rsid w:val="006C397A"/>
    <w:rsid w:val="006C5798"/>
    <w:rsid w:val="006E2ACB"/>
    <w:rsid w:val="006E2F34"/>
    <w:rsid w:val="006E762C"/>
    <w:rsid w:val="006F2AEC"/>
    <w:rsid w:val="006F4C1B"/>
    <w:rsid w:val="007011C2"/>
    <w:rsid w:val="00706486"/>
    <w:rsid w:val="00707E80"/>
    <w:rsid w:val="00715177"/>
    <w:rsid w:val="0072533F"/>
    <w:rsid w:val="00725A8D"/>
    <w:rsid w:val="00731BDE"/>
    <w:rsid w:val="00733CD9"/>
    <w:rsid w:val="0073698C"/>
    <w:rsid w:val="00757C4D"/>
    <w:rsid w:val="00765061"/>
    <w:rsid w:val="00765995"/>
    <w:rsid w:val="00783373"/>
    <w:rsid w:val="007902AC"/>
    <w:rsid w:val="00790467"/>
    <w:rsid w:val="007959AF"/>
    <w:rsid w:val="007C3393"/>
    <w:rsid w:val="007E570D"/>
    <w:rsid w:val="0080345C"/>
    <w:rsid w:val="0081246F"/>
    <w:rsid w:val="00816574"/>
    <w:rsid w:val="0081743B"/>
    <w:rsid w:val="0082511F"/>
    <w:rsid w:val="008307D0"/>
    <w:rsid w:val="008412C8"/>
    <w:rsid w:val="00841CF8"/>
    <w:rsid w:val="00844114"/>
    <w:rsid w:val="008475B8"/>
    <w:rsid w:val="008539B9"/>
    <w:rsid w:val="008576A2"/>
    <w:rsid w:val="008637A7"/>
    <w:rsid w:val="00867ADF"/>
    <w:rsid w:val="00872EB3"/>
    <w:rsid w:val="00881A3E"/>
    <w:rsid w:val="00881FAD"/>
    <w:rsid w:val="00886CC4"/>
    <w:rsid w:val="008B3DB6"/>
    <w:rsid w:val="008E515B"/>
    <w:rsid w:val="008E6532"/>
    <w:rsid w:val="008F2CD1"/>
    <w:rsid w:val="008F3797"/>
    <w:rsid w:val="00902AEF"/>
    <w:rsid w:val="00905FBD"/>
    <w:rsid w:val="009135D2"/>
    <w:rsid w:val="00937CF0"/>
    <w:rsid w:val="00954ED7"/>
    <w:rsid w:val="00960A66"/>
    <w:rsid w:val="0096170F"/>
    <w:rsid w:val="00980BE9"/>
    <w:rsid w:val="0098174F"/>
    <w:rsid w:val="009918B2"/>
    <w:rsid w:val="00991A7E"/>
    <w:rsid w:val="00996D84"/>
    <w:rsid w:val="009A7DEC"/>
    <w:rsid w:val="009B10B5"/>
    <w:rsid w:val="009B3E50"/>
    <w:rsid w:val="009B7D58"/>
    <w:rsid w:val="009C6339"/>
    <w:rsid w:val="009D5627"/>
    <w:rsid w:val="009E25EA"/>
    <w:rsid w:val="009E4FC4"/>
    <w:rsid w:val="009F1467"/>
    <w:rsid w:val="00A0720C"/>
    <w:rsid w:val="00A16022"/>
    <w:rsid w:val="00A31124"/>
    <w:rsid w:val="00A3290E"/>
    <w:rsid w:val="00A44FEB"/>
    <w:rsid w:val="00A53BD4"/>
    <w:rsid w:val="00A609A3"/>
    <w:rsid w:val="00A67EF7"/>
    <w:rsid w:val="00A8106E"/>
    <w:rsid w:val="00A812DE"/>
    <w:rsid w:val="00A87BB1"/>
    <w:rsid w:val="00A9777E"/>
    <w:rsid w:val="00AB3CB9"/>
    <w:rsid w:val="00AB3F7A"/>
    <w:rsid w:val="00AC19E5"/>
    <w:rsid w:val="00AC2FC4"/>
    <w:rsid w:val="00AD6CBC"/>
    <w:rsid w:val="00AE0144"/>
    <w:rsid w:val="00B02480"/>
    <w:rsid w:val="00B12720"/>
    <w:rsid w:val="00B16961"/>
    <w:rsid w:val="00B210CD"/>
    <w:rsid w:val="00B47386"/>
    <w:rsid w:val="00B57260"/>
    <w:rsid w:val="00B577A6"/>
    <w:rsid w:val="00B6248F"/>
    <w:rsid w:val="00B629FC"/>
    <w:rsid w:val="00B65479"/>
    <w:rsid w:val="00B75AB0"/>
    <w:rsid w:val="00B82225"/>
    <w:rsid w:val="00B84880"/>
    <w:rsid w:val="00B95B14"/>
    <w:rsid w:val="00BA0C7D"/>
    <w:rsid w:val="00BA3026"/>
    <w:rsid w:val="00BA5211"/>
    <w:rsid w:val="00BC5A64"/>
    <w:rsid w:val="00BD42B6"/>
    <w:rsid w:val="00BE66C7"/>
    <w:rsid w:val="00BF6D3D"/>
    <w:rsid w:val="00C04F61"/>
    <w:rsid w:val="00C05675"/>
    <w:rsid w:val="00C05900"/>
    <w:rsid w:val="00C10146"/>
    <w:rsid w:val="00C2729F"/>
    <w:rsid w:val="00C341B2"/>
    <w:rsid w:val="00C35E83"/>
    <w:rsid w:val="00C40019"/>
    <w:rsid w:val="00C4036E"/>
    <w:rsid w:val="00C61320"/>
    <w:rsid w:val="00C637D6"/>
    <w:rsid w:val="00C6653F"/>
    <w:rsid w:val="00C83F1F"/>
    <w:rsid w:val="00C9571A"/>
    <w:rsid w:val="00CA0535"/>
    <w:rsid w:val="00CA08C9"/>
    <w:rsid w:val="00CA103B"/>
    <w:rsid w:val="00CA4166"/>
    <w:rsid w:val="00CA5F9C"/>
    <w:rsid w:val="00CA7224"/>
    <w:rsid w:val="00CA78AD"/>
    <w:rsid w:val="00CC7B45"/>
    <w:rsid w:val="00CD36B3"/>
    <w:rsid w:val="00CD4A95"/>
    <w:rsid w:val="00CE43EF"/>
    <w:rsid w:val="00CE500E"/>
    <w:rsid w:val="00CF1097"/>
    <w:rsid w:val="00CF2305"/>
    <w:rsid w:val="00D04B41"/>
    <w:rsid w:val="00D05035"/>
    <w:rsid w:val="00D16D8E"/>
    <w:rsid w:val="00D2352D"/>
    <w:rsid w:val="00D23DF7"/>
    <w:rsid w:val="00D56FC1"/>
    <w:rsid w:val="00D60685"/>
    <w:rsid w:val="00D60B8B"/>
    <w:rsid w:val="00D73ADB"/>
    <w:rsid w:val="00D92F9A"/>
    <w:rsid w:val="00D94636"/>
    <w:rsid w:val="00DA4042"/>
    <w:rsid w:val="00DB6F4D"/>
    <w:rsid w:val="00DC1359"/>
    <w:rsid w:val="00DC229F"/>
    <w:rsid w:val="00DC2741"/>
    <w:rsid w:val="00DC5ECA"/>
    <w:rsid w:val="00DD5AB5"/>
    <w:rsid w:val="00DF18BD"/>
    <w:rsid w:val="00E00D9D"/>
    <w:rsid w:val="00E14069"/>
    <w:rsid w:val="00E15AC9"/>
    <w:rsid w:val="00E2013E"/>
    <w:rsid w:val="00E516D5"/>
    <w:rsid w:val="00E60A2C"/>
    <w:rsid w:val="00E659AE"/>
    <w:rsid w:val="00E67E94"/>
    <w:rsid w:val="00E90590"/>
    <w:rsid w:val="00E920EF"/>
    <w:rsid w:val="00E9782B"/>
    <w:rsid w:val="00EA46BF"/>
    <w:rsid w:val="00EB2717"/>
    <w:rsid w:val="00EC71AE"/>
    <w:rsid w:val="00ED0050"/>
    <w:rsid w:val="00ED316C"/>
    <w:rsid w:val="00EE282C"/>
    <w:rsid w:val="00F22C4B"/>
    <w:rsid w:val="00F36391"/>
    <w:rsid w:val="00F40BF4"/>
    <w:rsid w:val="00F6037C"/>
    <w:rsid w:val="00F75EB6"/>
    <w:rsid w:val="00F82C42"/>
    <w:rsid w:val="00F86006"/>
    <w:rsid w:val="00F93670"/>
    <w:rsid w:val="00FA052E"/>
    <w:rsid w:val="00FF52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5B6FDFF"/>
  <w15:docId w15:val="{E90099DA-9972-4B9E-A3F4-FDD34798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B1"/>
    <w:pPr>
      <w:tabs>
        <w:tab w:val="left" w:pos="720"/>
        <w:tab w:val="left" w:pos="5954"/>
      </w:tabs>
      <w:ind w:left="284"/>
    </w:pPr>
    <w:rPr>
      <w:rFonts w:ascii="Arial" w:eastAsia="Arial Unicode MS" w:hAnsi="Arial" w:cs="Arial"/>
      <w:sz w:val="22"/>
      <w:szCs w:val="22"/>
    </w:rPr>
  </w:style>
  <w:style w:type="paragraph" w:styleId="Titre1">
    <w:name w:val="heading 1"/>
    <w:aliases w:val="Nom Prénom"/>
    <w:basedOn w:val="Sous-titre"/>
    <w:next w:val="Normal"/>
    <w:link w:val="Titre1Car"/>
    <w:uiPriority w:val="9"/>
    <w:qFormat/>
    <w:rsid w:val="00A87BB1"/>
    <w:pPr>
      <w:outlineLvl w:val="0"/>
    </w:pPr>
    <w:rPr>
      <w:noProof/>
    </w:rPr>
  </w:style>
  <w:style w:type="paragraph" w:styleId="Titre2">
    <w:name w:val="heading 2"/>
    <w:basedOn w:val="Normal"/>
    <w:next w:val="Normal"/>
    <w:link w:val="Titre2Car"/>
    <w:uiPriority w:val="9"/>
    <w:semiHidden/>
    <w:unhideWhenUsed/>
    <w:qFormat/>
    <w:rsid w:val="00A072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B210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5C0000"/>
    <w:pPr>
      <w:tabs>
        <w:tab w:val="clear" w:pos="720"/>
        <w:tab w:val="left" w:pos="709"/>
      </w:tabs>
      <w:ind w:left="5103"/>
    </w:pPr>
    <w:rPr>
      <w:b/>
      <w:bCs/>
    </w:rPr>
  </w:style>
  <w:style w:type="character" w:customStyle="1" w:styleId="Retraitcorpsdetexte3Car">
    <w:name w:val="Retrait corps de texte 3 Car"/>
    <w:link w:val="Retraitcorpsdetexte3"/>
    <w:rsid w:val="005C0000"/>
    <w:rPr>
      <w:rFonts w:ascii="Times New Roman" w:eastAsia="Times New Roman" w:hAnsi="Times New Roman" w:cs="Times New Roman"/>
      <w:b/>
      <w:bCs/>
      <w:sz w:val="24"/>
      <w:szCs w:val="24"/>
      <w:lang w:eastAsia="fr-FR"/>
    </w:rPr>
  </w:style>
  <w:style w:type="paragraph" w:styleId="Corpsdetexte">
    <w:name w:val="Body Text"/>
    <w:basedOn w:val="Normal"/>
    <w:link w:val="CorpsdetexteCar"/>
    <w:uiPriority w:val="99"/>
    <w:unhideWhenUsed/>
    <w:rsid w:val="005C0000"/>
    <w:pPr>
      <w:spacing w:after="120"/>
    </w:pPr>
  </w:style>
  <w:style w:type="character" w:customStyle="1" w:styleId="CorpsdetexteCar">
    <w:name w:val="Corps de texte Car"/>
    <w:link w:val="Corpsdetexte"/>
    <w:uiPriority w:val="99"/>
    <w:rsid w:val="005C000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C0000"/>
    <w:rPr>
      <w:rFonts w:ascii="Tahoma" w:hAnsi="Tahoma" w:cs="Tahoma"/>
      <w:sz w:val="16"/>
      <w:szCs w:val="16"/>
    </w:rPr>
  </w:style>
  <w:style w:type="character" w:customStyle="1" w:styleId="TextedebullesCar">
    <w:name w:val="Texte de bulles Car"/>
    <w:link w:val="Textedebulles"/>
    <w:uiPriority w:val="99"/>
    <w:semiHidden/>
    <w:rsid w:val="005C0000"/>
    <w:rPr>
      <w:rFonts w:ascii="Tahoma" w:eastAsia="Times New Roman" w:hAnsi="Tahoma" w:cs="Tahoma"/>
      <w:sz w:val="16"/>
      <w:szCs w:val="16"/>
      <w:lang w:eastAsia="fr-FR"/>
    </w:rPr>
  </w:style>
  <w:style w:type="character" w:customStyle="1" w:styleId="st">
    <w:name w:val="st"/>
    <w:basedOn w:val="Policepardfaut"/>
    <w:rsid w:val="0012433F"/>
  </w:style>
  <w:style w:type="character" w:styleId="Accentuation">
    <w:name w:val="Emphasis"/>
    <w:uiPriority w:val="20"/>
    <w:qFormat/>
    <w:rsid w:val="0012433F"/>
    <w:rPr>
      <w:i/>
      <w:iCs/>
    </w:rPr>
  </w:style>
  <w:style w:type="paragraph" w:styleId="NormalWeb">
    <w:name w:val="Normal (Web)"/>
    <w:basedOn w:val="Normal"/>
    <w:uiPriority w:val="99"/>
    <w:unhideWhenUsed/>
    <w:rsid w:val="00BC5A64"/>
    <w:pPr>
      <w:spacing w:before="100" w:beforeAutospacing="1" w:after="100" w:afterAutospacing="1"/>
    </w:pPr>
  </w:style>
  <w:style w:type="character" w:styleId="lev">
    <w:name w:val="Strong"/>
    <w:uiPriority w:val="22"/>
    <w:qFormat/>
    <w:rsid w:val="00BC5A64"/>
    <w:rPr>
      <w:b/>
      <w:bCs/>
    </w:rPr>
  </w:style>
  <w:style w:type="paragraph" w:customStyle="1" w:styleId="bodytext">
    <w:name w:val="bodytext"/>
    <w:basedOn w:val="Normal"/>
    <w:rsid w:val="003F731D"/>
    <w:pPr>
      <w:spacing w:before="100" w:beforeAutospacing="1" w:after="100" w:afterAutospacing="1"/>
    </w:pPr>
  </w:style>
  <w:style w:type="paragraph" w:styleId="En-tte">
    <w:name w:val="header"/>
    <w:basedOn w:val="Normal"/>
    <w:link w:val="En-tteCar"/>
    <w:uiPriority w:val="99"/>
    <w:unhideWhenUsed/>
    <w:rsid w:val="00C6653F"/>
    <w:pPr>
      <w:tabs>
        <w:tab w:val="center" w:pos="4536"/>
        <w:tab w:val="right" w:pos="9072"/>
      </w:tabs>
    </w:pPr>
  </w:style>
  <w:style w:type="character" w:customStyle="1" w:styleId="En-tteCar">
    <w:name w:val="En-tête Car"/>
    <w:link w:val="En-tte"/>
    <w:uiPriority w:val="99"/>
    <w:rsid w:val="00C6653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6653F"/>
    <w:pPr>
      <w:tabs>
        <w:tab w:val="center" w:pos="4536"/>
        <w:tab w:val="right" w:pos="9072"/>
      </w:tabs>
    </w:pPr>
  </w:style>
  <w:style w:type="character" w:customStyle="1" w:styleId="PieddepageCar">
    <w:name w:val="Pied de page Car"/>
    <w:link w:val="Pieddepage"/>
    <w:uiPriority w:val="99"/>
    <w:rsid w:val="00C6653F"/>
    <w:rPr>
      <w:rFonts w:ascii="Times New Roman" w:eastAsia="Times New Roman" w:hAnsi="Times New Roman" w:cs="Times New Roman"/>
      <w:sz w:val="24"/>
      <w:szCs w:val="24"/>
      <w:lang w:eastAsia="fr-FR"/>
    </w:rPr>
  </w:style>
  <w:style w:type="character" w:styleId="Lienhypertexte">
    <w:name w:val="Hyperlink"/>
    <w:uiPriority w:val="99"/>
    <w:unhideWhenUsed/>
    <w:rsid w:val="008576A2"/>
    <w:rPr>
      <w:color w:val="0000FF"/>
      <w:u w:val="single"/>
    </w:rPr>
  </w:style>
  <w:style w:type="table" w:styleId="Grilledutableau">
    <w:name w:val="Table Grid"/>
    <w:basedOn w:val="TableauNormal"/>
    <w:uiPriority w:val="59"/>
    <w:rsid w:val="0082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Nom Prénom Car"/>
    <w:link w:val="Titre1"/>
    <w:uiPriority w:val="9"/>
    <w:rsid w:val="00A87BB1"/>
    <w:rPr>
      <w:rFonts w:ascii="Arial" w:eastAsia="Arial Unicode MS" w:hAnsi="Arial" w:cs="Arial"/>
      <w:b/>
      <w:bCs/>
      <w:noProof/>
      <w:lang w:eastAsia="fr-FR"/>
    </w:rPr>
  </w:style>
  <w:style w:type="paragraph" w:styleId="Sous-titre">
    <w:name w:val="Subtitle"/>
    <w:aliases w:val="adresse_objet"/>
    <w:basedOn w:val="Retraitcorpsdetexte3"/>
    <w:next w:val="Normal"/>
    <w:link w:val="Sous-titreCar"/>
    <w:uiPriority w:val="11"/>
    <w:qFormat/>
    <w:rsid w:val="00A87BB1"/>
    <w:rPr>
      <w:b w:val="0"/>
      <w:sz w:val="18"/>
      <w:szCs w:val="18"/>
    </w:rPr>
  </w:style>
  <w:style w:type="character" w:customStyle="1" w:styleId="Sous-titreCar">
    <w:name w:val="Sous-titre Car"/>
    <w:aliases w:val="adresse_objet Car"/>
    <w:link w:val="Sous-titre"/>
    <w:uiPriority w:val="11"/>
    <w:rsid w:val="00A87BB1"/>
    <w:rPr>
      <w:rFonts w:ascii="Arial" w:eastAsia="Arial Unicode MS" w:hAnsi="Arial" w:cs="Arial"/>
      <w:bCs/>
      <w:sz w:val="18"/>
      <w:szCs w:val="18"/>
      <w:lang w:eastAsia="fr-FR"/>
    </w:rPr>
  </w:style>
  <w:style w:type="paragraph" w:customStyle="1" w:styleId="Default">
    <w:name w:val="Default"/>
    <w:rsid w:val="00A9777E"/>
    <w:pPr>
      <w:autoSpaceDE w:val="0"/>
      <w:autoSpaceDN w:val="0"/>
      <w:adjustRightInd w:val="0"/>
    </w:pPr>
    <w:rPr>
      <w:rFonts w:ascii="Times New Roman" w:hAnsi="Times New Roman"/>
      <w:color w:val="000000"/>
      <w:sz w:val="24"/>
      <w:szCs w:val="24"/>
    </w:rPr>
  </w:style>
  <w:style w:type="paragraph" w:styleId="Paragraphedeliste">
    <w:name w:val="List Paragraph"/>
    <w:basedOn w:val="Normal"/>
    <w:uiPriority w:val="34"/>
    <w:qFormat/>
    <w:rsid w:val="003C2E80"/>
    <w:pPr>
      <w:ind w:left="720"/>
      <w:contextualSpacing/>
    </w:pPr>
  </w:style>
  <w:style w:type="paragraph" w:customStyle="1" w:styleId="Intgralebase">
    <w:name w:val="Intégrale_base"/>
    <w:rsid w:val="00D05035"/>
    <w:pPr>
      <w:spacing w:line="280" w:lineRule="exact"/>
    </w:pPr>
    <w:rPr>
      <w:rFonts w:ascii="Arial" w:eastAsia="Times" w:hAnsi="Arial"/>
    </w:rPr>
  </w:style>
  <w:style w:type="character" w:customStyle="1" w:styleId="Titre2Car">
    <w:name w:val="Titre 2 Car"/>
    <w:basedOn w:val="Policepardfaut"/>
    <w:link w:val="Titre2"/>
    <w:uiPriority w:val="9"/>
    <w:semiHidden/>
    <w:rsid w:val="00A0720C"/>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B210CD"/>
    <w:rPr>
      <w:rFonts w:asciiTheme="majorHAnsi" w:eastAsiaTheme="majorEastAsia" w:hAnsiTheme="majorHAnsi" w:cstheme="majorBidi"/>
      <w:b/>
      <w:bCs/>
      <w:i/>
      <w:iCs/>
      <w:color w:val="4F81BD" w:themeColor="accent1"/>
      <w:sz w:val="22"/>
      <w:szCs w:val="22"/>
    </w:rPr>
  </w:style>
  <w:style w:type="paragraph" w:styleId="Retraitcorpsdetexte">
    <w:name w:val="Body Text Indent"/>
    <w:basedOn w:val="Normal"/>
    <w:link w:val="RetraitcorpsdetexteCar"/>
    <w:uiPriority w:val="99"/>
    <w:unhideWhenUsed/>
    <w:rsid w:val="00B210CD"/>
    <w:pPr>
      <w:spacing w:after="120"/>
      <w:ind w:left="283"/>
    </w:pPr>
  </w:style>
  <w:style w:type="character" w:customStyle="1" w:styleId="RetraitcorpsdetexteCar">
    <w:name w:val="Retrait corps de texte Car"/>
    <w:basedOn w:val="Policepardfaut"/>
    <w:link w:val="Retraitcorpsdetexte"/>
    <w:uiPriority w:val="99"/>
    <w:rsid w:val="00B210CD"/>
    <w:rPr>
      <w:rFonts w:ascii="Arial" w:eastAsia="Arial Unicode MS" w:hAnsi="Arial" w:cs="Arial"/>
      <w:sz w:val="22"/>
      <w:szCs w:val="22"/>
    </w:rPr>
  </w:style>
  <w:style w:type="character" w:styleId="AcronymeHTML">
    <w:name w:val="HTML Acronym"/>
    <w:basedOn w:val="Policepardfaut"/>
    <w:uiPriority w:val="99"/>
    <w:semiHidden/>
    <w:unhideWhenUsed/>
    <w:rsid w:val="007011C2"/>
  </w:style>
  <w:style w:type="paragraph" w:styleId="Rvision">
    <w:name w:val="Revision"/>
    <w:hidden/>
    <w:uiPriority w:val="99"/>
    <w:semiHidden/>
    <w:rsid w:val="0012473D"/>
    <w:rPr>
      <w:rFonts w:ascii="Arial" w:eastAsia="Arial Unicode MS" w:hAnsi="Arial" w:cs="Arial"/>
      <w:sz w:val="22"/>
      <w:szCs w:val="22"/>
    </w:rPr>
  </w:style>
  <w:style w:type="character" w:styleId="Marquedecommentaire">
    <w:name w:val="annotation reference"/>
    <w:basedOn w:val="Policepardfaut"/>
    <w:uiPriority w:val="99"/>
    <w:semiHidden/>
    <w:unhideWhenUsed/>
    <w:rsid w:val="003B3848"/>
    <w:rPr>
      <w:sz w:val="16"/>
      <w:szCs w:val="16"/>
    </w:rPr>
  </w:style>
  <w:style w:type="paragraph" w:styleId="Commentaire">
    <w:name w:val="annotation text"/>
    <w:basedOn w:val="Normal"/>
    <w:link w:val="CommentaireCar"/>
    <w:uiPriority w:val="99"/>
    <w:unhideWhenUsed/>
    <w:rsid w:val="003B3848"/>
    <w:rPr>
      <w:sz w:val="20"/>
      <w:szCs w:val="20"/>
    </w:rPr>
  </w:style>
  <w:style w:type="character" w:customStyle="1" w:styleId="CommentaireCar">
    <w:name w:val="Commentaire Car"/>
    <w:basedOn w:val="Policepardfaut"/>
    <w:link w:val="Commentaire"/>
    <w:uiPriority w:val="99"/>
    <w:rsid w:val="003B3848"/>
    <w:rPr>
      <w:rFonts w:ascii="Arial" w:eastAsia="Arial Unicode MS" w:hAnsi="Arial" w:cs="Arial"/>
    </w:rPr>
  </w:style>
  <w:style w:type="paragraph" w:styleId="Objetducommentaire">
    <w:name w:val="annotation subject"/>
    <w:basedOn w:val="Commentaire"/>
    <w:next w:val="Commentaire"/>
    <w:link w:val="ObjetducommentaireCar"/>
    <w:uiPriority w:val="99"/>
    <w:semiHidden/>
    <w:unhideWhenUsed/>
    <w:rsid w:val="003B3848"/>
    <w:rPr>
      <w:b/>
      <w:bCs/>
    </w:rPr>
  </w:style>
  <w:style w:type="character" w:customStyle="1" w:styleId="ObjetducommentaireCar">
    <w:name w:val="Objet du commentaire Car"/>
    <w:basedOn w:val="CommentaireCar"/>
    <w:link w:val="Objetducommentaire"/>
    <w:uiPriority w:val="99"/>
    <w:semiHidden/>
    <w:rsid w:val="003B3848"/>
    <w:rPr>
      <w:rFonts w:ascii="Arial" w:eastAsia="Arial Unicode MS"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8527">
      <w:bodyDiv w:val="1"/>
      <w:marLeft w:val="0"/>
      <w:marRight w:val="0"/>
      <w:marTop w:val="0"/>
      <w:marBottom w:val="0"/>
      <w:divBdr>
        <w:top w:val="none" w:sz="0" w:space="0" w:color="auto"/>
        <w:left w:val="none" w:sz="0" w:space="0" w:color="auto"/>
        <w:bottom w:val="none" w:sz="0" w:space="0" w:color="auto"/>
        <w:right w:val="none" w:sz="0" w:space="0" w:color="auto"/>
      </w:divBdr>
    </w:div>
    <w:div w:id="443840910">
      <w:bodyDiv w:val="1"/>
      <w:marLeft w:val="0"/>
      <w:marRight w:val="0"/>
      <w:marTop w:val="0"/>
      <w:marBottom w:val="0"/>
      <w:divBdr>
        <w:top w:val="none" w:sz="0" w:space="0" w:color="auto"/>
        <w:left w:val="none" w:sz="0" w:space="0" w:color="auto"/>
        <w:bottom w:val="none" w:sz="0" w:space="0" w:color="auto"/>
        <w:right w:val="none" w:sz="0" w:space="0" w:color="auto"/>
      </w:divBdr>
    </w:div>
    <w:div w:id="681662080">
      <w:bodyDiv w:val="1"/>
      <w:marLeft w:val="0"/>
      <w:marRight w:val="0"/>
      <w:marTop w:val="0"/>
      <w:marBottom w:val="0"/>
      <w:divBdr>
        <w:top w:val="none" w:sz="0" w:space="0" w:color="auto"/>
        <w:left w:val="none" w:sz="0" w:space="0" w:color="auto"/>
        <w:bottom w:val="none" w:sz="0" w:space="0" w:color="auto"/>
        <w:right w:val="none" w:sz="0" w:space="0" w:color="auto"/>
      </w:divBdr>
    </w:div>
    <w:div w:id="697895832">
      <w:bodyDiv w:val="1"/>
      <w:marLeft w:val="0"/>
      <w:marRight w:val="0"/>
      <w:marTop w:val="0"/>
      <w:marBottom w:val="0"/>
      <w:divBdr>
        <w:top w:val="none" w:sz="0" w:space="0" w:color="auto"/>
        <w:left w:val="none" w:sz="0" w:space="0" w:color="auto"/>
        <w:bottom w:val="none" w:sz="0" w:space="0" w:color="auto"/>
        <w:right w:val="none" w:sz="0" w:space="0" w:color="auto"/>
      </w:divBdr>
    </w:div>
    <w:div w:id="1063479975">
      <w:bodyDiv w:val="1"/>
      <w:marLeft w:val="0"/>
      <w:marRight w:val="0"/>
      <w:marTop w:val="0"/>
      <w:marBottom w:val="0"/>
      <w:divBdr>
        <w:top w:val="none" w:sz="0" w:space="0" w:color="auto"/>
        <w:left w:val="none" w:sz="0" w:space="0" w:color="auto"/>
        <w:bottom w:val="none" w:sz="0" w:space="0" w:color="auto"/>
        <w:right w:val="none" w:sz="0" w:space="0" w:color="auto"/>
      </w:divBdr>
    </w:div>
    <w:div w:id="1066689255">
      <w:bodyDiv w:val="1"/>
      <w:marLeft w:val="0"/>
      <w:marRight w:val="0"/>
      <w:marTop w:val="0"/>
      <w:marBottom w:val="0"/>
      <w:divBdr>
        <w:top w:val="none" w:sz="0" w:space="0" w:color="auto"/>
        <w:left w:val="none" w:sz="0" w:space="0" w:color="auto"/>
        <w:bottom w:val="none" w:sz="0" w:space="0" w:color="auto"/>
        <w:right w:val="none" w:sz="0" w:space="0" w:color="auto"/>
      </w:divBdr>
      <w:divsChild>
        <w:div w:id="1367564863">
          <w:marLeft w:val="0"/>
          <w:marRight w:val="0"/>
          <w:marTop w:val="0"/>
          <w:marBottom w:val="0"/>
          <w:divBdr>
            <w:top w:val="none" w:sz="0" w:space="0" w:color="auto"/>
            <w:left w:val="none" w:sz="0" w:space="0" w:color="auto"/>
            <w:bottom w:val="none" w:sz="0" w:space="0" w:color="auto"/>
            <w:right w:val="none" w:sz="0" w:space="0" w:color="auto"/>
          </w:divBdr>
        </w:div>
      </w:divsChild>
    </w:div>
    <w:div w:id="1252859768">
      <w:bodyDiv w:val="1"/>
      <w:marLeft w:val="0"/>
      <w:marRight w:val="0"/>
      <w:marTop w:val="0"/>
      <w:marBottom w:val="0"/>
      <w:divBdr>
        <w:top w:val="none" w:sz="0" w:space="0" w:color="auto"/>
        <w:left w:val="none" w:sz="0" w:space="0" w:color="auto"/>
        <w:bottom w:val="none" w:sz="0" w:space="0" w:color="auto"/>
        <w:right w:val="none" w:sz="0" w:space="0" w:color="auto"/>
      </w:divBdr>
    </w:div>
    <w:div w:id="1275285219">
      <w:bodyDiv w:val="1"/>
      <w:marLeft w:val="0"/>
      <w:marRight w:val="0"/>
      <w:marTop w:val="0"/>
      <w:marBottom w:val="0"/>
      <w:divBdr>
        <w:top w:val="none" w:sz="0" w:space="0" w:color="auto"/>
        <w:left w:val="none" w:sz="0" w:space="0" w:color="auto"/>
        <w:bottom w:val="none" w:sz="0" w:space="0" w:color="auto"/>
        <w:right w:val="none" w:sz="0" w:space="0" w:color="auto"/>
      </w:divBdr>
    </w:div>
    <w:div w:id="1297292659">
      <w:bodyDiv w:val="1"/>
      <w:marLeft w:val="0"/>
      <w:marRight w:val="0"/>
      <w:marTop w:val="0"/>
      <w:marBottom w:val="0"/>
      <w:divBdr>
        <w:top w:val="none" w:sz="0" w:space="0" w:color="auto"/>
        <w:left w:val="none" w:sz="0" w:space="0" w:color="auto"/>
        <w:bottom w:val="none" w:sz="0" w:space="0" w:color="auto"/>
        <w:right w:val="none" w:sz="0" w:space="0" w:color="auto"/>
      </w:divBdr>
    </w:div>
    <w:div w:id="1481992965">
      <w:bodyDiv w:val="1"/>
      <w:marLeft w:val="0"/>
      <w:marRight w:val="0"/>
      <w:marTop w:val="0"/>
      <w:marBottom w:val="0"/>
      <w:divBdr>
        <w:top w:val="none" w:sz="0" w:space="0" w:color="auto"/>
        <w:left w:val="none" w:sz="0" w:space="0" w:color="auto"/>
        <w:bottom w:val="none" w:sz="0" w:space="0" w:color="auto"/>
        <w:right w:val="none" w:sz="0" w:space="0" w:color="auto"/>
      </w:divBdr>
    </w:div>
    <w:div w:id="1488133075">
      <w:bodyDiv w:val="1"/>
      <w:marLeft w:val="0"/>
      <w:marRight w:val="0"/>
      <w:marTop w:val="0"/>
      <w:marBottom w:val="0"/>
      <w:divBdr>
        <w:top w:val="none" w:sz="0" w:space="0" w:color="auto"/>
        <w:left w:val="none" w:sz="0" w:space="0" w:color="auto"/>
        <w:bottom w:val="none" w:sz="0" w:space="0" w:color="auto"/>
        <w:right w:val="none" w:sz="0" w:space="0" w:color="auto"/>
      </w:divBdr>
    </w:div>
    <w:div w:id="1583561170">
      <w:bodyDiv w:val="1"/>
      <w:marLeft w:val="0"/>
      <w:marRight w:val="0"/>
      <w:marTop w:val="0"/>
      <w:marBottom w:val="0"/>
      <w:divBdr>
        <w:top w:val="none" w:sz="0" w:space="0" w:color="auto"/>
        <w:left w:val="none" w:sz="0" w:space="0" w:color="auto"/>
        <w:bottom w:val="none" w:sz="0" w:space="0" w:color="auto"/>
        <w:right w:val="none" w:sz="0" w:space="0" w:color="auto"/>
      </w:divBdr>
    </w:div>
    <w:div w:id="1670057561">
      <w:bodyDiv w:val="1"/>
      <w:marLeft w:val="0"/>
      <w:marRight w:val="0"/>
      <w:marTop w:val="0"/>
      <w:marBottom w:val="0"/>
      <w:divBdr>
        <w:top w:val="none" w:sz="0" w:space="0" w:color="auto"/>
        <w:left w:val="none" w:sz="0" w:space="0" w:color="auto"/>
        <w:bottom w:val="none" w:sz="0" w:space="0" w:color="auto"/>
        <w:right w:val="none" w:sz="0" w:space="0" w:color="auto"/>
      </w:divBdr>
    </w:div>
    <w:div w:id="1677540524">
      <w:bodyDiv w:val="1"/>
      <w:marLeft w:val="0"/>
      <w:marRight w:val="0"/>
      <w:marTop w:val="0"/>
      <w:marBottom w:val="0"/>
      <w:divBdr>
        <w:top w:val="none" w:sz="0" w:space="0" w:color="auto"/>
        <w:left w:val="none" w:sz="0" w:space="0" w:color="auto"/>
        <w:bottom w:val="none" w:sz="0" w:space="0" w:color="auto"/>
        <w:right w:val="none" w:sz="0" w:space="0" w:color="auto"/>
      </w:divBdr>
    </w:div>
    <w:div w:id="1685981765">
      <w:bodyDiv w:val="1"/>
      <w:marLeft w:val="0"/>
      <w:marRight w:val="0"/>
      <w:marTop w:val="0"/>
      <w:marBottom w:val="0"/>
      <w:divBdr>
        <w:top w:val="none" w:sz="0" w:space="0" w:color="auto"/>
        <w:left w:val="none" w:sz="0" w:space="0" w:color="auto"/>
        <w:bottom w:val="none" w:sz="0" w:space="0" w:color="auto"/>
        <w:right w:val="none" w:sz="0" w:space="0" w:color="auto"/>
      </w:divBdr>
    </w:div>
    <w:div w:id="1724136523">
      <w:bodyDiv w:val="1"/>
      <w:marLeft w:val="0"/>
      <w:marRight w:val="0"/>
      <w:marTop w:val="0"/>
      <w:marBottom w:val="0"/>
      <w:divBdr>
        <w:top w:val="none" w:sz="0" w:space="0" w:color="auto"/>
        <w:left w:val="none" w:sz="0" w:space="0" w:color="auto"/>
        <w:bottom w:val="none" w:sz="0" w:space="0" w:color="auto"/>
        <w:right w:val="none" w:sz="0" w:space="0" w:color="auto"/>
      </w:divBdr>
    </w:div>
    <w:div w:id="1833134187">
      <w:bodyDiv w:val="1"/>
      <w:marLeft w:val="0"/>
      <w:marRight w:val="0"/>
      <w:marTop w:val="0"/>
      <w:marBottom w:val="0"/>
      <w:divBdr>
        <w:top w:val="none" w:sz="0" w:space="0" w:color="auto"/>
        <w:left w:val="none" w:sz="0" w:space="0" w:color="auto"/>
        <w:bottom w:val="none" w:sz="0" w:space="0" w:color="auto"/>
        <w:right w:val="none" w:sz="0" w:space="0" w:color="auto"/>
      </w:divBdr>
    </w:div>
    <w:div w:id="1945768726">
      <w:bodyDiv w:val="1"/>
      <w:marLeft w:val="0"/>
      <w:marRight w:val="0"/>
      <w:marTop w:val="0"/>
      <w:marBottom w:val="0"/>
      <w:divBdr>
        <w:top w:val="none" w:sz="0" w:space="0" w:color="auto"/>
        <w:left w:val="none" w:sz="0" w:space="0" w:color="auto"/>
        <w:bottom w:val="none" w:sz="0" w:space="0" w:color="auto"/>
        <w:right w:val="none" w:sz="0" w:space="0" w:color="auto"/>
      </w:divBdr>
    </w:div>
    <w:div w:id="19746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seignementsup-recherche.gouv.fr/cid146031/previsions-des-effectifs-dans-l-enseignement-superieur-rentrees-2019-et-2020.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enseignementsup-recherche.gouv.fr/cid141042/projections-des-effectifs-dans-l-enseignement-superieur-pour-les-rentrees-de-2018-a-2027.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valette\AppData\Local\Temp\Temp2_courrier-type-service_word.zip\Courrier_Type_Service_logoI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0B45-B329-4FFA-9125-9D546C97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Courrier_Type_Service_logoIE.dotx</Template>
  <TotalTime>1</TotalTime>
  <Pages>3</Pages>
  <Words>810</Words>
  <Characters>4459</Characters>
  <Application>Microsoft Office Word</Application>
  <DocSecurity>0</DocSecurity>
  <Lines>37</Lines>
  <Paragraphs>10</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Monsieur Prénom Nom (Dest.)</vt:lpstr>
    </vt:vector>
  </TitlesOfParts>
  <Company>Microsoft</Company>
  <LinksUpToDate>false</LinksUpToDate>
  <CharactersWithSpaces>5259</CharactersWithSpaces>
  <SharedDoc>false</SharedDoc>
  <HLinks>
    <vt:vector size="6" baseType="variant">
      <vt:variant>
        <vt:i4>3145847</vt:i4>
      </vt:variant>
      <vt:variant>
        <vt:i4>4079</vt:i4>
      </vt:variant>
      <vt:variant>
        <vt:i4>1025</vt:i4>
      </vt:variant>
      <vt:variant>
        <vt:i4>1</vt:i4>
      </vt:variant>
      <vt:variant>
        <vt:lpwstr>Sceau_AMU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VALETTE Francoise</dc:creator>
  <cp:lastModifiedBy>FRANCOIS HEQUET</cp:lastModifiedBy>
  <cp:revision>2</cp:revision>
  <cp:lastPrinted>2012-01-23T16:00:00Z</cp:lastPrinted>
  <dcterms:created xsi:type="dcterms:W3CDTF">2022-05-24T09:04:00Z</dcterms:created>
  <dcterms:modified xsi:type="dcterms:W3CDTF">2022-05-24T09:04:00Z</dcterms:modified>
</cp:coreProperties>
</file>